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2BCEF" w14:textId="706735FD" w:rsidR="00731B92" w:rsidRDefault="00731B92" w:rsidP="00731B92">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r>
      <w:r w:rsidR="00FA495E" w:rsidRPr="00FA495E">
        <w:rPr>
          <w:rFonts w:asciiTheme="minorHAnsi" w:hAnsiTheme="minorHAnsi" w:cstheme="minorHAnsi"/>
          <w:bCs/>
          <w:noProof w:val="0"/>
          <w:sz w:val="24"/>
          <w:szCs w:val="24"/>
          <w:lang w:eastAsia="zh-CN"/>
        </w:rPr>
        <w:t>R4-2308507</w:t>
      </w:r>
    </w:p>
    <w:p w14:paraId="68F70BF1" w14:textId="77777777" w:rsidR="00731B92" w:rsidRDefault="00731B92" w:rsidP="00731B92">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新細明體"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p w14:paraId="16841417" w14:textId="13951BF5" w:rsidR="00621696" w:rsidRDefault="00621696" w:rsidP="00621696">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731B92" w:rsidRPr="00731B92">
        <w:rPr>
          <w:rFonts w:asciiTheme="minorHAnsi" w:eastAsiaTheme="minorEastAsia" w:hAnsiTheme="minorHAnsi" w:cstheme="minorHAnsi" w:hint="eastAsia"/>
          <w:bCs/>
          <w:noProof w:val="0"/>
          <w:sz w:val="24"/>
          <w:szCs w:val="24"/>
          <w:lang w:eastAsia="zh-CN"/>
        </w:rPr>
        <w:t>8.</w:t>
      </w:r>
      <w:r w:rsidR="00BE18F6">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.3.5</w:t>
      </w:r>
    </w:p>
    <w:p w14:paraId="57BBF75E" w14:textId="370CF72B" w:rsidR="006C0ACA" w:rsidRPr="009A2A8B" w:rsidRDefault="00621696"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10DB76D" w14:textId="13540DD5" w:rsidR="006C0ACA" w:rsidRPr="009A2A8B"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6C0ACA">
        <w:rPr>
          <w:rFonts w:asciiTheme="minorHAnsi" w:eastAsiaTheme="minorEastAsia" w:hAnsiTheme="minorHAnsi" w:cstheme="minorHAnsi"/>
          <w:bCs/>
          <w:noProof w:val="0"/>
          <w:sz w:val="24"/>
          <w:szCs w:val="24"/>
          <w:lang w:eastAsia="zh-CN"/>
        </w:rPr>
        <w:t>Discussion on dual TCI</w:t>
      </w:r>
      <w:r w:rsidR="00FF06AA">
        <w:rPr>
          <w:rFonts w:asciiTheme="minorHAnsi" w:eastAsiaTheme="minorEastAsia" w:hAnsiTheme="minorHAnsi" w:cstheme="minorHAnsi"/>
          <w:bCs/>
          <w:noProof w:val="0"/>
          <w:sz w:val="24"/>
          <w:szCs w:val="24"/>
          <w:lang w:eastAsia="zh-CN"/>
        </w:rPr>
        <w:t xml:space="preserve"> state switch for multi-Rx UEs</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73FCD02F" w:rsidR="0028162D" w:rsidRPr="007317FB" w:rsidRDefault="006C0ACA" w:rsidP="00C86203">
      <w:pPr>
        <w:rPr>
          <w:rFonts w:eastAsia="新細明體" w:cstheme="minorHAnsi"/>
          <w:szCs w:val="24"/>
        </w:rPr>
      </w:pPr>
      <w:r>
        <w:rPr>
          <w:rFonts w:eastAsia="新細明體" w:cstheme="minorHAnsi"/>
          <w:szCs w:val="24"/>
        </w:rPr>
        <w:t>According to WF</w:t>
      </w:r>
      <w:r w:rsidR="004759B1">
        <w:rPr>
          <w:rFonts w:eastAsia="新細明體" w:cstheme="minorHAnsi"/>
          <w:szCs w:val="24"/>
        </w:rPr>
        <w:t xml:space="preserve"> </w:t>
      </w:r>
      <w:r w:rsidR="004759B1">
        <w:rPr>
          <w:rFonts w:eastAsia="新細明體" w:cstheme="minorHAnsi" w:hint="eastAsia"/>
          <w:szCs w:val="24"/>
        </w:rPr>
        <w:t>[1]</w:t>
      </w:r>
      <w:r w:rsidR="00571F9A">
        <w:rPr>
          <w:rFonts w:eastAsia="新細明體" w:cstheme="minorHAnsi"/>
          <w:szCs w:val="24"/>
        </w:rPr>
        <w:t xml:space="preserve"> </w:t>
      </w:r>
      <w:r>
        <w:rPr>
          <w:rFonts w:eastAsia="新細明體" w:cstheme="minorHAnsi"/>
          <w:szCs w:val="24"/>
        </w:rPr>
        <w:t>and discussion summary</w:t>
      </w:r>
      <w:r w:rsidR="004759B1">
        <w:rPr>
          <w:rFonts w:eastAsia="新細明體" w:cstheme="minorHAnsi"/>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ad some agreements in the last meeting while some issues were discussed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“dual TCI state switching”</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7355667" w:rsidR="000B0F8D" w:rsidRPr="00263720" w:rsidRDefault="000B0F8D" w:rsidP="006843C7">
      <w:pPr>
        <w:spacing w:before="100" w:beforeAutospacing="1" w:after="100" w:afterAutospacing="1"/>
        <w:rPr>
          <w:rFonts w:eastAsia="新細明體"/>
          <w:szCs w:val="24"/>
          <w:lang w:val="en-GB"/>
        </w:rPr>
      </w:pPr>
      <w:r w:rsidRPr="00263720">
        <w:rPr>
          <w:rFonts w:eastAsia="新細明體"/>
          <w:szCs w:val="24"/>
          <w:lang w:val="en-GB"/>
        </w:rPr>
        <w:t>In the following sections, below issues will be discussed sequentially.</w:t>
      </w:r>
    </w:p>
    <w:p w14:paraId="56C39A67" w14:textId="7AB5AFAA" w:rsidR="00DC04A1" w:rsidRDefault="00495A19" w:rsidP="006843C7">
      <w:pPr>
        <w:pStyle w:val="ListParagraph"/>
        <w:numPr>
          <w:ilvl w:val="0"/>
          <w:numId w:val="22"/>
        </w:numPr>
        <w:spacing w:before="100" w:beforeAutospacing="1" w:after="100" w:afterAutospacing="1"/>
        <w:rPr>
          <w:rFonts w:eastAsia="新細明體"/>
          <w:szCs w:val="24"/>
          <w:lang w:val="en-GB"/>
        </w:rPr>
      </w:pPr>
      <w:r>
        <w:rPr>
          <w:rFonts w:eastAsia="新細明體"/>
          <w:szCs w:val="24"/>
          <w:lang w:val="en-GB"/>
        </w:rPr>
        <w:t>Requirement applicability</w:t>
      </w:r>
      <w:r w:rsidR="00436B03">
        <w:rPr>
          <w:rFonts w:eastAsia="新細明體"/>
          <w:szCs w:val="24"/>
          <w:lang w:val="en-GB"/>
        </w:rPr>
        <w:t xml:space="preserve"> of known and unknown TCI state</w:t>
      </w:r>
    </w:p>
    <w:p w14:paraId="5562AA8E" w14:textId="0D0012E6" w:rsidR="00DC04A1" w:rsidRDefault="00DD116E" w:rsidP="006843C7">
      <w:pPr>
        <w:pStyle w:val="ListParagraph"/>
        <w:numPr>
          <w:ilvl w:val="0"/>
          <w:numId w:val="22"/>
        </w:numPr>
        <w:spacing w:before="100" w:beforeAutospacing="1" w:after="100" w:afterAutospacing="1"/>
        <w:rPr>
          <w:rFonts w:eastAsia="新細明體"/>
          <w:szCs w:val="24"/>
          <w:lang w:val="en-GB" w:eastAsia="zh-TW"/>
        </w:rPr>
      </w:pPr>
      <w:r>
        <w:rPr>
          <w:rFonts w:eastAsia="新細明體"/>
          <w:szCs w:val="24"/>
          <w:lang w:val="en-GB" w:eastAsia="zh-TW"/>
        </w:rPr>
        <w:t>Detectable condition</w:t>
      </w:r>
    </w:p>
    <w:p w14:paraId="5EE5005C" w14:textId="780857C2" w:rsidR="002A58FE" w:rsidRPr="002A58FE" w:rsidRDefault="002A58FE" w:rsidP="006843C7">
      <w:pPr>
        <w:pStyle w:val="ListParagraph"/>
        <w:numPr>
          <w:ilvl w:val="0"/>
          <w:numId w:val="22"/>
        </w:numPr>
        <w:spacing w:before="100" w:beforeAutospacing="1" w:after="100" w:afterAutospacing="1"/>
        <w:rPr>
          <w:rFonts w:eastAsia="新細明體"/>
          <w:szCs w:val="24"/>
          <w:lang w:val="en-GB" w:eastAsia="zh-TW"/>
        </w:rPr>
      </w:pPr>
      <w:r w:rsidRPr="002A58FE">
        <w:rPr>
          <w:rFonts w:eastAsia="新細明體"/>
          <w:szCs w:val="24"/>
          <w:lang w:val="en-GB" w:eastAsia="zh-TW"/>
        </w:rPr>
        <w:t>Active TCI state list update</w:t>
      </w:r>
    </w:p>
    <w:p w14:paraId="731BAA61" w14:textId="361BEAFD" w:rsidR="002A58FE" w:rsidRPr="00263720" w:rsidRDefault="002A58FE" w:rsidP="006843C7">
      <w:pPr>
        <w:pStyle w:val="ListParagraph"/>
        <w:numPr>
          <w:ilvl w:val="0"/>
          <w:numId w:val="22"/>
        </w:numPr>
        <w:spacing w:before="100" w:beforeAutospacing="1" w:after="100" w:afterAutospacing="1"/>
        <w:rPr>
          <w:rFonts w:eastAsia="新細明體"/>
          <w:szCs w:val="24"/>
          <w:lang w:val="en-GB" w:eastAsia="zh-TW"/>
        </w:rPr>
      </w:pPr>
      <w:r w:rsidRPr="002A58FE">
        <w:rPr>
          <w:rFonts w:eastAsia="新細明體"/>
          <w:szCs w:val="24"/>
          <w:lang w:val="en-GB" w:eastAsia="zh-TW"/>
        </w:rPr>
        <w:t>RRC based TCI state switch</w:t>
      </w:r>
    </w:p>
    <w:p w14:paraId="4699F00A" w14:textId="77777777" w:rsidR="00263720" w:rsidRPr="005A2F6D" w:rsidRDefault="00263720" w:rsidP="006843C7">
      <w:pPr>
        <w:pStyle w:val="ListParagraph"/>
        <w:spacing w:before="100" w:beforeAutospacing="1" w:after="100" w:afterAutospacing="1"/>
        <w:ind w:left="480"/>
        <w:rPr>
          <w:rFonts w:eastAsia="新細明體"/>
          <w:lang w:val="en-GB"/>
        </w:rPr>
      </w:pPr>
    </w:p>
    <w:p w14:paraId="0EB7CFA5" w14:textId="0AC1684F" w:rsidR="002907B7" w:rsidRPr="00923E98" w:rsidRDefault="002907B7" w:rsidP="00520E82">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1</w:t>
      </w:r>
      <w:r w:rsidRPr="00923E98">
        <w:rPr>
          <w:rFonts w:asciiTheme="minorHAnsi" w:hAnsiTheme="minorHAnsi" w:cstheme="minorHAnsi"/>
          <w:szCs w:val="32"/>
        </w:rPr>
        <w:t xml:space="preserve"> </w:t>
      </w:r>
      <w:r w:rsidR="00436B03" w:rsidRPr="00436B03">
        <w:rPr>
          <w:rFonts w:asciiTheme="minorHAnsi" w:eastAsia="新細明體" w:hAnsiTheme="minorHAnsi" w:cstheme="minorHAnsi"/>
          <w:szCs w:val="32"/>
          <w:lang w:eastAsia="zh-TW"/>
        </w:rPr>
        <w:t>Requirement applicability of known and unknown TCI state</w:t>
      </w:r>
    </w:p>
    <w:p w14:paraId="713D5553" w14:textId="14FE215C" w:rsidR="00C62DF8" w:rsidRPr="00D65DBD" w:rsidRDefault="00C62DF8" w:rsidP="00C62DF8">
      <w:pPr>
        <w:rPr>
          <w:rFonts w:eastAsia="新細明體" w:cstheme="minorHAnsi"/>
          <w:szCs w:val="24"/>
        </w:rPr>
      </w:pPr>
      <w:r>
        <w:rPr>
          <w:rFonts w:eastAsia="新細明體" w:cstheme="minorHAnsi" w:hint="eastAsia"/>
          <w:szCs w:val="24"/>
        </w:rPr>
        <w:t>I</w:t>
      </w:r>
      <w:r>
        <w:rPr>
          <w:rFonts w:eastAsia="新細明體" w:cstheme="minorHAnsi"/>
          <w:szCs w:val="24"/>
        </w:rPr>
        <w:t xml:space="preserve">n </w:t>
      </w:r>
      <w:r>
        <w:rPr>
          <w:rFonts w:eastAsia="新細明體" w:cstheme="minorHAnsi" w:hint="eastAsia"/>
          <w:szCs w:val="24"/>
        </w:rPr>
        <w:t>l</w:t>
      </w:r>
      <w:r>
        <w:rPr>
          <w:rFonts w:eastAsia="新細明體" w:cstheme="minorHAnsi"/>
          <w:szCs w:val="24"/>
        </w:rPr>
        <w:t>ast meeting, some companies discussed known and unknown TCI state in [2].</w:t>
      </w:r>
    </w:p>
    <w:tbl>
      <w:tblPr>
        <w:tblStyle w:val="TableGrid"/>
        <w:tblW w:w="0" w:type="auto"/>
        <w:tblLook w:val="04A0" w:firstRow="1" w:lastRow="0" w:firstColumn="1" w:lastColumn="0" w:noHBand="0" w:noVBand="1"/>
      </w:tblPr>
      <w:tblGrid>
        <w:gridCol w:w="9629"/>
      </w:tblGrid>
      <w:tr w:rsidR="00C62DF8" w:rsidRPr="00D65DBD" w14:paraId="51A7DBC6" w14:textId="77777777" w:rsidTr="000D4C79">
        <w:tc>
          <w:tcPr>
            <w:tcW w:w="9629" w:type="dxa"/>
          </w:tcPr>
          <w:p w14:paraId="27E9D631" w14:textId="77777777" w:rsidR="00C62DF8" w:rsidRPr="00C62DF8" w:rsidRDefault="00C62DF8" w:rsidP="00C62DF8">
            <w:pPr>
              <w:widowControl/>
              <w:spacing w:after="180"/>
              <w:rPr>
                <w:rFonts w:ascii="Times New Roman" w:eastAsia="新細明體" w:hAnsi="Times New Roman" w:cs="Times New Roman"/>
                <w:kern w:val="0"/>
                <w:sz w:val="20"/>
                <w:szCs w:val="20"/>
                <w:lang w:val="en-GB"/>
              </w:rPr>
            </w:pPr>
            <w:r w:rsidRPr="00C62DF8">
              <w:rPr>
                <w:rFonts w:ascii="Times New Roman" w:eastAsia="新細明體" w:hAnsi="Times New Roman" w:cs="Times New Roman"/>
                <w:i/>
                <w:iCs/>
                <w:kern w:val="0"/>
                <w:sz w:val="20"/>
                <w:szCs w:val="20"/>
                <w:highlight w:val="green"/>
                <w:lang w:val="en-GB"/>
              </w:rPr>
              <w:t>Agreements</w:t>
            </w:r>
            <w:r w:rsidRPr="00C62DF8">
              <w:rPr>
                <w:rFonts w:ascii="Times New Roman" w:eastAsia="新細明體" w:hAnsi="Times New Roman" w:cs="Times New Roman"/>
                <w:i/>
                <w:iCs/>
                <w:kern w:val="0"/>
                <w:sz w:val="20"/>
                <w:szCs w:val="20"/>
                <w:lang w:val="en-GB"/>
              </w:rPr>
              <w:t>:</w:t>
            </w:r>
          </w:p>
          <w:p w14:paraId="50CAEC1E" w14:textId="77777777" w:rsidR="00C62DF8" w:rsidRPr="00C62DF8" w:rsidRDefault="00C62DF8" w:rsidP="00C62DF8">
            <w:pPr>
              <w:widowControl/>
              <w:numPr>
                <w:ilvl w:val="0"/>
                <w:numId w:val="43"/>
              </w:numPr>
              <w:spacing w:after="180"/>
              <w:ind w:left="1260"/>
              <w:textAlignment w:val="center"/>
              <w:rPr>
                <w:rFonts w:ascii="Calibri" w:eastAsia="新細明體" w:hAnsi="Calibri" w:cs="Calibri"/>
                <w:kern w:val="0"/>
                <w:sz w:val="22"/>
                <w:lang w:val="en-GB"/>
              </w:rPr>
            </w:pPr>
            <w:r w:rsidRPr="00C62DF8">
              <w:rPr>
                <w:rFonts w:ascii="Times New Roman" w:eastAsia="新細明體" w:hAnsi="Times New Roman" w:cs="Times New Roman"/>
                <w:i/>
                <w:iCs/>
                <w:kern w:val="0"/>
                <w:sz w:val="20"/>
                <w:szCs w:val="20"/>
                <w:lang w:val="en-GB"/>
              </w:rPr>
              <w:t xml:space="preserve">Requirements for DCI based dual TCI states switch delay for PDSCH reception are defined for known case only. </w:t>
            </w:r>
          </w:p>
          <w:p w14:paraId="00FEFFCC" w14:textId="32A75F91" w:rsidR="002A58FE" w:rsidRPr="002A58FE" w:rsidRDefault="00C62DF8" w:rsidP="002A58FE">
            <w:pPr>
              <w:widowControl/>
              <w:numPr>
                <w:ilvl w:val="0"/>
                <w:numId w:val="43"/>
              </w:numPr>
              <w:spacing w:after="180"/>
              <w:ind w:left="1260"/>
              <w:textAlignment w:val="center"/>
              <w:rPr>
                <w:rFonts w:ascii="Calibri" w:eastAsia="新細明體" w:hAnsi="Calibri" w:cs="Calibri"/>
                <w:kern w:val="0"/>
                <w:sz w:val="22"/>
                <w:lang w:val="en-GB"/>
              </w:rPr>
            </w:pPr>
            <w:r w:rsidRPr="00C62DF8">
              <w:rPr>
                <w:rFonts w:ascii="Times New Roman" w:eastAsia="新細明體" w:hAnsi="Times New Roman" w:cs="Times New Roman"/>
                <w:i/>
                <w:iCs/>
                <w:kern w:val="0"/>
                <w:sz w:val="20"/>
                <w:szCs w:val="20"/>
                <w:lang w:val="en-GB"/>
              </w:rPr>
              <w:t xml:space="preserve">Requirements for MAC CE based dual TCI states switch delay for PDCCH reception are defined for known case. </w:t>
            </w:r>
            <w:r w:rsidRPr="00C62DF8">
              <w:rPr>
                <w:rFonts w:ascii="Times New Roman" w:eastAsia="新細明體" w:hAnsi="Times New Roman" w:cs="Times New Roman"/>
                <w:i/>
                <w:iCs/>
                <w:kern w:val="0"/>
                <w:sz w:val="20"/>
                <w:szCs w:val="20"/>
                <w:highlight w:val="yellow"/>
                <w:lang w:val="en-GB"/>
              </w:rPr>
              <w:t>FFS</w:t>
            </w:r>
            <w:r w:rsidRPr="00C62DF8">
              <w:rPr>
                <w:rFonts w:ascii="Times New Roman" w:eastAsia="新細明體" w:hAnsi="Times New Roman" w:cs="Times New Roman"/>
                <w:i/>
                <w:iCs/>
                <w:kern w:val="0"/>
                <w:sz w:val="20"/>
                <w:szCs w:val="20"/>
                <w:lang w:val="en-GB"/>
              </w:rPr>
              <w:t xml:space="preserve"> if it is to be limited to known case only.</w:t>
            </w:r>
            <w:r w:rsidR="002A58FE" w:rsidRPr="002A58FE">
              <w:rPr>
                <w:rFonts w:ascii="Times New Roman" w:eastAsia="新細明體" w:hAnsi="Times New Roman" w:cs="Times New Roman"/>
                <w:i/>
                <w:iCs/>
                <w:kern w:val="0"/>
                <w:sz w:val="20"/>
                <w:szCs w:val="20"/>
                <w:lang w:val="en-GB"/>
              </w:rPr>
              <w:t xml:space="preserve"> </w:t>
            </w:r>
          </w:p>
        </w:tc>
      </w:tr>
    </w:tbl>
    <w:p w14:paraId="25760197" w14:textId="4F312557" w:rsidR="00EF47C2" w:rsidRDefault="00790793" w:rsidP="00495A19">
      <w:pPr>
        <w:spacing w:before="100" w:beforeAutospacing="1" w:after="100" w:afterAutospacing="1"/>
        <w:jc w:val="both"/>
        <w:rPr>
          <w:b/>
          <w:szCs w:val="24"/>
        </w:rPr>
      </w:pPr>
      <w:r>
        <w:rPr>
          <w:rFonts w:eastAsia="新細明體"/>
        </w:rPr>
        <w:t>For dual TCI state switching, t</w:t>
      </w:r>
      <w:r w:rsidR="00592B66">
        <w:rPr>
          <w:rFonts w:eastAsia="新細明體"/>
        </w:rPr>
        <w:t xml:space="preserve">here is one open issue regarding whether to consider unknown TCI state switching in the last meeting. The discussed cases are (1) </w:t>
      </w:r>
      <w:r w:rsidR="00592B66" w:rsidRPr="00592B66">
        <w:rPr>
          <w:rFonts w:eastAsia="新細明體"/>
          <w:color w:val="0000FF"/>
        </w:rPr>
        <w:t xml:space="preserve">known </w:t>
      </w:r>
      <w:r w:rsidR="00592B66">
        <w:rPr>
          <w:rFonts w:eastAsia="新細明體"/>
        </w:rPr>
        <w:t xml:space="preserve">TCI state + </w:t>
      </w:r>
      <w:r w:rsidR="00592B66" w:rsidRPr="00592B66">
        <w:rPr>
          <w:rFonts w:eastAsia="新細明體"/>
          <w:color w:val="0000FF"/>
        </w:rPr>
        <w:t xml:space="preserve">known </w:t>
      </w:r>
      <w:r w:rsidR="00592B66">
        <w:rPr>
          <w:rFonts w:eastAsia="新細明體"/>
        </w:rPr>
        <w:t xml:space="preserve">TCI state (2) </w:t>
      </w:r>
      <w:r w:rsidR="00592B66" w:rsidRPr="00592B66">
        <w:rPr>
          <w:rFonts w:eastAsia="新細明體"/>
          <w:color w:val="0000FF"/>
        </w:rPr>
        <w:t xml:space="preserve">known </w:t>
      </w:r>
      <w:r w:rsidR="00592B66">
        <w:rPr>
          <w:rFonts w:eastAsia="新細明體"/>
        </w:rPr>
        <w:t xml:space="preserve">TCI state + </w:t>
      </w:r>
      <w:r w:rsidR="00592B66" w:rsidRPr="00592B66">
        <w:rPr>
          <w:rFonts w:eastAsia="新細明體"/>
          <w:color w:val="FF0000"/>
        </w:rPr>
        <w:t xml:space="preserve">unknown </w:t>
      </w:r>
      <w:r w:rsidR="00592B66">
        <w:rPr>
          <w:rFonts w:eastAsia="新細明體"/>
        </w:rPr>
        <w:t xml:space="preserve">TCI state (3) </w:t>
      </w:r>
      <w:r w:rsidR="00592B66" w:rsidRPr="00592B66">
        <w:rPr>
          <w:rFonts w:eastAsia="新細明體"/>
          <w:color w:val="FF0000"/>
        </w:rPr>
        <w:t>unknown</w:t>
      </w:r>
      <w:r w:rsidR="00592B66">
        <w:rPr>
          <w:rFonts w:eastAsia="新細明體"/>
        </w:rPr>
        <w:t xml:space="preserve"> TCI state + </w:t>
      </w:r>
      <w:r w:rsidR="00592B66" w:rsidRPr="00592B66">
        <w:rPr>
          <w:rFonts w:eastAsia="新細明體"/>
          <w:color w:val="FF0000"/>
        </w:rPr>
        <w:t>unknown</w:t>
      </w:r>
      <w:r w:rsidR="00592B66">
        <w:rPr>
          <w:rFonts w:eastAsia="新細明體"/>
        </w:rPr>
        <w:t xml:space="preserve"> TCI state.</w:t>
      </w:r>
      <w:r w:rsidR="009136F9">
        <w:rPr>
          <w:rFonts w:eastAsia="新細明體"/>
        </w:rPr>
        <w:t xml:space="preserve"> To our understanding, dual TCI state switch</w:t>
      </w:r>
      <w:r w:rsidR="0057071C">
        <w:rPr>
          <w:rFonts w:eastAsia="新細明體"/>
        </w:rPr>
        <w:t>ing</w:t>
      </w:r>
      <w:r w:rsidR="009C5D74">
        <w:rPr>
          <w:rFonts w:eastAsia="新細明體"/>
        </w:rPr>
        <w:t xml:space="preserve"> </w:t>
      </w:r>
      <w:r w:rsidR="009136F9">
        <w:rPr>
          <w:rFonts w:eastAsia="新細明體"/>
        </w:rPr>
        <w:t xml:space="preserve">is for simultaneous reception of two PDSCHs, </w:t>
      </w:r>
      <w:r w:rsidR="00D65DBD">
        <w:rPr>
          <w:rFonts w:eastAsia="新細明體"/>
        </w:rPr>
        <w:t>i.e.,</w:t>
      </w:r>
      <w:r w:rsidR="009136F9">
        <w:rPr>
          <w:rFonts w:eastAsia="新細明體"/>
        </w:rPr>
        <w:t xml:space="preserve"> increase data throughput. </w:t>
      </w:r>
      <w:r w:rsidR="00D65DBD">
        <w:rPr>
          <w:rFonts w:eastAsia="新細明體"/>
        </w:rPr>
        <w:t>I</w:t>
      </w:r>
      <w:r w:rsidR="001C4DE7">
        <w:rPr>
          <w:rFonts w:eastAsia="新細明體" w:hint="eastAsia"/>
        </w:rPr>
        <w:t>f</w:t>
      </w:r>
      <w:r w:rsidR="001C4DE7">
        <w:rPr>
          <w:rFonts w:eastAsia="新細明體"/>
        </w:rPr>
        <w:t xml:space="preserve"> network indicates UE switches to unknown TCI states,</w:t>
      </w:r>
      <w:r w:rsidR="00962539">
        <w:rPr>
          <w:rFonts w:eastAsia="新細明體"/>
        </w:rPr>
        <w:t xml:space="preserve"> t</w:t>
      </w:r>
      <w:r w:rsidR="009136F9">
        <w:rPr>
          <w:rFonts w:eastAsia="新細明體"/>
        </w:rPr>
        <w:t>he performance cannot be guaranteed</w:t>
      </w:r>
      <w:r w:rsidR="00962539">
        <w:rPr>
          <w:rFonts w:eastAsia="新細明體"/>
        </w:rPr>
        <w:t>,</w:t>
      </w:r>
      <w:r w:rsidR="009136F9">
        <w:rPr>
          <w:rFonts w:eastAsia="新細明體"/>
        </w:rPr>
        <w:t xml:space="preserve"> and it will waste UE power if beam failure happen</w:t>
      </w:r>
      <w:r w:rsidR="009360C9">
        <w:rPr>
          <w:rFonts w:eastAsia="新細明體"/>
        </w:rPr>
        <w:t>s</w:t>
      </w:r>
      <w:r w:rsidR="009136F9">
        <w:rPr>
          <w:rFonts w:eastAsia="新細明體"/>
        </w:rPr>
        <w:t>.</w:t>
      </w:r>
      <w:r w:rsidR="002E299E">
        <w:rPr>
          <w:rFonts w:eastAsia="新細明體"/>
        </w:rPr>
        <w:t xml:space="preserve"> </w:t>
      </w:r>
      <w:r w:rsidR="009360C9">
        <w:rPr>
          <w:rFonts w:eastAsia="新細明體"/>
        </w:rPr>
        <w:t>This is very similar to CQI/RI reporting, i.e., typically network only schedule</w:t>
      </w:r>
      <w:r w:rsidR="00D65DBD">
        <w:rPr>
          <w:rFonts w:eastAsia="新細明體"/>
        </w:rPr>
        <w:t xml:space="preserve"> </w:t>
      </w:r>
      <w:r w:rsidR="009360C9">
        <w:rPr>
          <w:rFonts w:eastAsia="新細明體"/>
        </w:rPr>
        <w:t xml:space="preserve">rank-4 PDSCH after UE report RI=4 and the corresponding CQI. </w:t>
      </w:r>
      <w:r w:rsidR="001C4DE7">
        <w:rPr>
          <w:rFonts w:eastAsia="新細明體"/>
        </w:rPr>
        <w:t>So, we do not see the needs and reason why network indicates UE switches to a</w:t>
      </w:r>
      <w:r w:rsidR="009360C9">
        <w:rPr>
          <w:rFonts w:eastAsia="新細明體"/>
        </w:rPr>
        <w:t>n</w:t>
      </w:r>
      <w:r w:rsidR="001C4DE7">
        <w:rPr>
          <w:rFonts w:eastAsia="新細明體"/>
        </w:rPr>
        <w:t xml:space="preserve"> unknown TCI state.</w:t>
      </w:r>
      <w:r w:rsidR="002A58FE">
        <w:rPr>
          <w:rFonts w:eastAsia="新細明體"/>
        </w:rPr>
        <w:t xml:space="preserve"> Therefore, we think DCI based dual TCI states and MAC CE based dual TCI states can be limited to known case only.</w:t>
      </w:r>
    </w:p>
    <w:p w14:paraId="5B3B0072" w14:textId="69116C02" w:rsidR="002A58FE" w:rsidRPr="002A58FE" w:rsidRDefault="00F744DD" w:rsidP="00F744DD">
      <w:pPr>
        <w:spacing w:before="100" w:beforeAutospacing="1" w:after="100" w:afterAutospacing="1"/>
        <w:jc w:val="both"/>
        <w:rPr>
          <w:rFonts w:eastAsia="新細明體"/>
          <w:b/>
          <w:szCs w:val="24"/>
        </w:rPr>
      </w:pPr>
      <w:bookmarkStart w:id="0" w:name="_Ref12728564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E75461">
        <w:rPr>
          <w:b/>
          <w:noProof/>
          <w:szCs w:val="24"/>
        </w:rPr>
        <w:t>1</w:t>
      </w:r>
      <w:r w:rsidRPr="004E4BCC">
        <w:rPr>
          <w:b/>
          <w:szCs w:val="24"/>
        </w:rPr>
        <w:fldChar w:fldCharType="end"/>
      </w:r>
      <w:r w:rsidRPr="004E4BCC">
        <w:rPr>
          <w:b/>
          <w:szCs w:val="24"/>
        </w:rPr>
        <w:t>:</w:t>
      </w:r>
      <w:r>
        <w:rPr>
          <w:b/>
          <w:szCs w:val="24"/>
        </w:rPr>
        <w:t xml:space="preserve"> </w:t>
      </w:r>
      <w:r w:rsidRPr="00C33DE5">
        <w:rPr>
          <w:b/>
          <w:szCs w:val="24"/>
        </w:rPr>
        <w:t xml:space="preserve">For </w:t>
      </w:r>
      <w:r>
        <w:rPr>
          <w:b/>
          <w:szCs w:val="24"/>
        </w:rPr>
        <w:t xml:space="preserve">dual TCI state switching, only </w:t>
      </w:r>
      <w:r w:rsidR="00CB682F">
        <w:rPr>
          <w:b/>
          <w:szCs w:val="24"/>
        </w:rPr>
        <w:t>define</w:t>
      </w:r>
      <w:r>
        <w:rPr>
          <w:b/>
          <w:szCs w:val="24"/>
        </w:rPr>
        <w:t xml:space="preserve"> the </w:t>
      </w:r>
      <w:r w:rsidR="00CB682F">
        <w:rPr>
          <w:b/>
          <w:szCs w:val="24"/>
        </w:rPr>
        <w:t xml:space="preserve">requirement for the case </w:t>
      </w:r>
      <w:r>
        <w:rPr>
          <w:b/>
          <w:szCs w:val="24"/>
        </w:rPr>
        <w:t xml:space="preserve">when two </w:t>
      </w:r>
      <w:r>
        <w:rPr>
          <w:b/>
          <w:szCs w:val="24"/>
        </w:rPr>
        <w:lastRenderedPageBreak/>
        <w:t>indicated TCI states are known.</w:t>
      </w:r>
      <w:bookmarkEnd w:id="0"/>
    </w:p>
    <w:p w14:paraId="55BA348D" w14:textId="5EAA92B5" w:rsidR="00D65DBD" w:rsidRPr="00D65DBD" w:rsidRDefault="00D65DBD" w:rsidP="00D65DBD">
      <w:pPr>
        <w:rPr>
          <w:rFonts w:eastAsia="新細明體" w:cstheme="minorHAnsi"/>
          <w:szCs w:val="24"/>
        </w:rPr>
      </w:pPr>
      <w:r>
        <w:rPr>
          <w:rFonts w:eastAsia="新細明體" w:cstheme="minorHAnsi" w:hint="eastAsia"/>
          <w:szCs w:val="24"/>
        </w:rPr>
        <w:t>I</w:t>
      </w:r>
      <w:r>
        <w:rPr>
          <w:rFonts w:eastAsia="新細明體" w:cstheme="minorHAnsi"/>
          <w:szCs w:val="24"/>
        </w:rPr>
        <w:t>n addition, some companies discuss</w:t>
      </w:r>
      <w:r w:rsidR="004F00A6">
        <w:rPr>
          <w:rFonts w:eastAsia="新細明體" w:cstheme="minorHAnsi"/>
          <w:szCs w:val="24"/>
        </w:rPr>
        <w:t>ed</w:t>
      </w:r>
      <w:r>
        <w:rPr>
          <w:rFonts w:eastAsia="新細明體" w:cstheme="minorHAnsi"/>
          <w:szCs w:val="24"/>
        </w:rPr>
        <w:t xml:space="preserve"> if </w:t>
      </w:r>
      <w:r w:rsidR="002A58FE">
        <w:rPr>
          <w:rFonts w:eastAsia="新細明體" w:cstheme="minorHAnsi"/>
          <w:szCs w:val="24"/>
        </w:rPr>
        <w:t>dual</w:t>
      </w:r>
      <w:r>
        <w:rPr>
          <w:rFonts w:eastAsia="新細明體" w:cstheme="minorHAnsi"/>
          <w:szCs w:val="24"/>
        </w:rPr>
        <w:t xml:space="preserve"> TCI state was included in a group report in [2].</w:t>
      </w:r>
    </w:p>
    <w:tbl>
      <w:tblPr>
        <w:tblStyle w:val="TableGrid"/>
        <w:tblW w:w="0" w:type="auto"/>
        <w:tblLook w:val="04A0" w:firstRow="1" w:lastRow="0" w:firstColumn="1" w:lastColumn="0" w:noHBand="0" w:noVBand="1"/>
      </w:tblPr>
      <w:tblGrid>
        <w:gridCol w:w="9629"/>
      </w:tblGrid>
      <w:tr w:rsidR="00D65DBD" w:rsidRPr="00D65DBD" w14:paraId="3FA38798" w14:textId="77777777" w:rsidTr="002143BA">
        <w:tc>
          <w:tcPr>
            <w:tcW w:w="9629" w:type="dxa"/>
          </w:tcPr>
          <w:p w14:paraId="091E7826" w14:textId="77777777" w:rsidR="002A58FE" w:rsidRPr="002A58FE" w:rsidRDefault="002A58FE" w:rsidP="002A58FE">
            <w:pPr>
              <w:widowControl/>
              <w:spacing w:after="180"/>
              <w:rPr>
                <w:rFonts w:ascii="Times New Roman" w:eastAsia="新細明體" w:hAnsi="Times New Roman" w:cs="Times New Roman"/>
                <w:color w:val="000000"/>
                <w:kern w:val="0"/>
                <w:sz w:val="20"/>
                <w:szCs w:val="20"/>
                <w:lang w:val="en-GB"/>
              </w:rPr>
            </w:pPr>
            <w:r w:rsidRPr="002A58FE">
              <w:rPr>
                <w:rFonts w:ascii="Times New Roman" w:eastAsia="新細明體" w:hAnsi="Times New Roman" w:cs="Times New Roman"/>
                <w:b/>
                <w:bCs/>
                <w:color w:val="000000"/>
                <w:kern w:val="0"/>
                <w:sz w:val="20"/>
                <w:szCs w:val="20"/>
                <w:u w:val="single"/>
                <w:lang w:val="en-GB"/>
              </w:rPr>
              <w:t>Issue 2-5-2: Definition of known condition:</w:t>
            </w:r>
          </w:p>
          <w:p w14:paraId="70F40B84" w14:textId="77777777" w:rsidR="002A58FE" w:rsidRPr="002A58FE" w:rsidRDefault="002A58FE" w:rsidP="002A58FE">
            <w:pPr>
              <w:widowControl/>
              <w:spacing w:after="120"/>
              <w:rPr>
                <w:rFonts w:ascii="Times New Roman" w:eastAsia="新細明體" w:hAnsi="Times New Roman" w:cs="Times New Roman"/>
                <w:kern w:val="0"/>
                <w:sz w:val="20"/>
                <w:szCs w:val="20"/>
                <w:lang w:val="en-GB"/>
              </w:rPr>
            </w:pPr>
            <w:r w:rsidRPr="002A58FE">
              <w:rPr>
                <w:rFonts w:ascii="Times New Roman" w:eastAsia="新細明體" w:hAnsi="Times New Roman" w:cs="Times New Roman"/>
                <w:i/>
                <w:iCs/>
                <w:kern w:val="0"/>
                <w:sz w:val="20"/>
                <w:szCs w:val="20"/>
                <w:highlight w:val="yellow"/>
                <w:lang w:val="en-GB"/>
              </w:rPr>
              <w:t xml:space="preserve">Way forward: </w:t>
            </w:r>
          </w:p>
          <w:p w14:paraId="5D6AAC41" w14:textId="77777777" w:rsidR="002A58FE" w:rsidRPr="002A58FE" w:rsidRDefault="002A58FE" w:rsidP="002A58FE">
            <w:pPr>
              <w:widowControl/>
              <w:spacing w:after="120"/>
              <w:rPr>
                <w:rFonts w:ascii="Times New Roman" w:eastAsia="新細明體" w:hAnsi="Times New Roman" w:cs="Times New Roman"/>
                <w:kern w:val="0"/>
                <w:sz w:val="20"/>
                <w:szCs w:val="20"/>
                <w:lang w:val="en-GB"/>
              </w:rPr>
            </w:pPr>
            <w:r w:rsidRPr="002A58FE">
              <w:rPr>
                <w:rFonts w:ascii="Times New Roman" w:eastAsia="新細明體" w:hAnsi="Times New Roman" w:cs="Times New Roman"/>
                <w:i/>
                <w:iCs/>
                <w:kern w:val="0"/>
                <w:sz w:val="20"/>
                <w:szCs w:val="20"/>
                <w:lang w:val="en-GB"/>
              </w:rPr>
              <w:t xml:space="preserve">GBBR is agreed as prerequisite to enable simultaneous reception. Does that mean dual TCI states are configured based on beams reported in GBBR or can other RS which are QCLed to beams reported in GBBR can be configured. Please consider following to provide your further analysis.  </w:t>
            </w:r>
          </w:p>
          <w:p w14:paraId="56EC73AA" w14:textId="77777777" w:rsidR="002A58FE" w:rsidRPr="002A58FE" w:rsidRDefault="002A58FE" w:rsidP="002A58FE">
            <w:pPr>
              <w:widowControl/>
              <w:numPr>
                <w:ilvl w:val="0"/>
                <w:numId w:val="44"/>
              </w:numPr>
              <w:spacing w:after="120"/>
              <w:ind w:left="1260"/>
              <w:textAlignment w:val="center"/>
              <w:rPr>
                <w:rFonts w:ascii="Calibri" w:eastAsia="新細明體" w:hAnsi="Calibri" w:cs="Calibri"/>
                <w:kern w:val="0"/>
                <w:sz w:val="22"/>
                <w:lang w:val="en-GB"/>
              </w:rPr>
            </w:pPr>
            <w:r w:rsidRPr="002A58FE">
              <w:rPr>
                <w:rFonts w:ascii="Times New Roman" w:eastAsia="新細明體" w:hAnsi="Times New Roman" w:cs="Times New Roman"/>
                <w:i/>
                <w:iCs/>
                <w:kern w:val="0"/>
                <w:sz w:val="20"/>
                <w:szCs w:val="20"/>
                <w:lang w:val="en-GB"/>
              </w:rPr>
              <w:t>Option 1: dual TCI states are only configured based on beams reported in GBBR.</w:t>
            </w:r>
          </w:p>
          <w:p w14:paraId="0A6AD615" w14:textId="2C68B8AC" w:rsidR="00D65DBD" w:rsidRPr="002A58FE" w:rsidRDefault="002A58FE" w:rsidP="00D65DBD">
            <w:pPr>
              <w:widowControl/>
              <w:numPr>
                <w:ilvl w:val="0"/>
                <w:numId w:val="44"/>
              </w:numPr>
              <w:spacing w:after="120"/>
              <w:ind w:left="1260"/>
              <w:textAlignment w:val="center"/>
              <w:rPr>
                <w:rFonts w:ascii="Calibri" w:eastAsia="新細明體" w:hAnsi="Calibri" w:cs="Calibri"/>
                <w:kern w:val="0"/>
                <w:sz w:val="22"/>
                <w:lang w:val="en-GB"/>
              </w:rPr>
            </w:pPr>
            <w:r w:rsidRPr="002A58FE">
              <w:rPr>
                <w:rFonts w:ascii="Times New Roman" w:eastAsia="新細明體" w:hAnsi="Times New Roman" w:cs="Times New Roman"/>
                <w:i/>
                <w:iCs/>
                <w:kern w:val="0"/>
                <w:sz w:val="20"/>
                <w:szCs w:val="20"/>
                <w:lang w:val="en-GB"/>
              </w:rPr>
              <w:t>Option2: dual TCI states which are QCLed to beam pair reported in GBBR can be configured</w:t>
            </w:r>
          </w:p>
        </w:tc>
      </w:tr>
    </w:tbl>
    <w:p w14:paraId="419364C1" w14:textId="04C0646E" w:rsidR="00D65DBD" w:rsidRDefault="00D65DBD" w:rsidP="00D65DBD">
      <w:pPr>
        <w:widowControl/>
        <w:rPr>
          <w:rFonts w:eastAsia="SimSun"/>
          <w:sz w:val="20"/>
          <w:szCs w:val="20"/>
          <w:lang w:eastAsia="zh-CN"/>
        </w:rPr>
      </w:pPr>
    </w:p>
    <w:p w14:paraId="75228B4E" w14:textId="75BBA7EA" w:rsidR="00D65DBD" w:rsidRPr="004F00A6" w:rsidRDefault="002A58FE" w:rsidP="00EF3345">
      <w:pPr>
        <w:widowControl/>
        <w:rPr>
          <w:rFonts w:eastAsia="新細明體"/>
        </w:rPr>
      </w:pPr>
      <w:r w:rsidRPr="00480528">
        <w:rPr>
          <w:rFonts w:eastAsia="新細明體"/>
        </w:rPr>
        <w:t>For issue 2-5-2, we think both option 1 an</w:t>
      </w:r>
      <w:r w:rsidRPr="00EF3345">
        <w:rPr>
          <w:rFonts w:eastAsia="新細明體"/>
        </w:rPr>
        <w:t xml:space="preserve">d 2 </w:t>
      </w:r>
      <w:r w:rsidR="00DB71C2" w:rsidRPr="00EF3345">
        <w:rPr>
          <w:rFonts w:eastAsia="新細明體"/>
        </w:rPr>
        <w:t xml:space="preserve">are </w:t>
      </w:r>
      <w:r w:rsidRPr="00EF3345">
        <w:rPr>
          <w:rFonts w:eastAsia="新細明體"/>
        </w:rPr>
        <w:t xml:space="preserve">OK to us. </w:t>
      </w:r>
      <w:r w:rsidR="00DB71C2" w:rsidRPr="00EF3345">
        <w:rPr>
          <w:rFonts w:eastAsia="新細明體"/>
        </w:rPr>
        <w:t xml:space="preserve">Basically, multi-RX operation is based on Rel-17 L1 RSRP group-based beam report, this is to select best beam pair to support simultaneous DL reception with better performance. </w:t>
      </w:r>
      <w:r>
        <w:rPr>
          <w:rFonts w:eastAsia="新細明體"/>
        </w:rPr>
        <w:t xml:space="preserve">But option 1 is more </w:t>
      </w:r>
      <w:r w:rsidR="000B508A">
        <w:rPr>
          <w:rFonts w:eastAsia="新細明體" w:hint="eastAsia"/>
        </w:rPr>
        <w:t>l</w:t>
      </w:r>
      <w:r w:rsidR="000B508A">
        <w:rPr>
          <w:rFonts w:eastAsia="新細明體"/>
        </w:rPr>
        <w:t xml:space="preserve">imited </w:t>
      </w:r>
      <w:r>
        <w:rPr>
          <w:rFonts w:eastAsia="新細明體"/>
        </w:rPr>
        <w:t>than option 2. So, we can agree both options for flexible condition for dual TCI states</w:t>
      </w:r>
      <w:r w:rsidR="00D65DBD" w:rsidRPr="004F00A6">
        <w:rPr>
          <w:rFonts w:eastAsia="新細明體"/>
        </w:rPr>
        <w:t>.</w:t>
      </w:r>
    </w:p>
    <w:p w14:paraId="5FC28524" w14:textId="77214F02" w:rsidR="002A58FE" w:rsidRDefault="004F00A6" w:rsidP="004F00A6">
      <w:pPr>
        <w:pStyle w:val="Caption"/>
        <w:rPr>
          <w:sz w:val="24"/>
          <w:szCs w:val="24"/>
        </w:rPr>
      </w:pPr>
      <w:bookmarkStart w:id="1" w:name="_Ref131776259"/>
      <w:r w:rsidRPr="004F00A6">
        <w:rPr>
          <w:sz w:val="24"/>
          <w:szCs w:val="24"/>
        </w:rPr>
        <w:t xml:space="preserve">Proposal </w:t>
      </w:r>
      <w:r w:rsidRPr="004F00A6">
        <w:rPr>
          <w:sz w:val="24"/>
          <w:szCs w:val="24"/>
        </w:rPr>
        <w:fldChar w:fldCharType="begin"/>
      </w:r>
      <w:r w:rsidRPr="004F00A6">
        <w:rPr>
          <w:sz w:val="24"/>
          <w:szCs w:val="24"/>
        </w:rPr>
        <w:instrText xml:space="preserve"> SEQ Proposal \* ARABIC </w:instrText>
      </w:r>
      <w:r w:rsidRPr="004F00A6">
        <w:rPr>
          <w:sz w:val="24"/>
          <w:szCs w:val="24"/>
        </w:rPr>
        <w:fldChar w:fldCharType="separate"/>
      </w:r>
      <w:r w:rsidR="00E75461">
        <w:rPr>
          <w:noProof/>
          <w:sz w:val="24"/>
          <w:szCs w:val="24"/>
        </w:rPr>
        <w:t>2</w:t>
      </w:r>
      <w:r w:rsidRPr="004F00A6">
        <w:rPr>
          <w:sz w:val="24"/>
          <w:szCs w:val="24"/>
        </w:rPr>
        <w:fldChar w:fldCharType="end"/>
      </w:r>
      <w:r w:rsidRPr="004F00A6">
        <w:rPr>
          <w:sz w:val="24"/>
          <w:szCs w:val="24"/>
        </w:rPr>
        <w:t xml:space="preserve">: Known TCI state definition for dual TCI </w:t>
      </w:r>
      <w:r w:rsidR="002A58FE">
        <w:rPr>
          <w:sz w:val="24"/>
          <w:szCs w:val="24"/>
        </w:rPr>
        <w:t>states:</w:t>
      </w:r>
    </w:p>
    <w:p w14:paraId="57217C93" w14:textId="15DE2913" w:rsidR="00F04CC5" w:rsidRDefault="002A58FE" w:rsidP="002A58FE">
      <w:pPr>
        <w:pStyle w:val="Caption"/>
        <w:numPr>
          <w:ilvl w:val="0"/>
          <w:numId w:val="45"/>
        </w:numPr>
        <w:rPr>
          <w:sz w:val="24"/>
          <w:szCs w:val="24"/>
        </w:rPr>
      </w:pPr>
      <w:r>
        <w:rPr>
          <w:sz w:val="24"/>
          <w:szCs w:val="24"/>
        </w:rPr>
        <w:t>T</w:t>
      </w:r>
      <w:r w:rsidR="004F00A6" w:rsidRPr="004F00A6">
        <w:rPr>
          <w:sz w:val="24"/>
          <w:szCs w:val="24"/>
        </w:rPr>
        <w:t xml:space="preserve">he </w:t>
      </w:r>
      <w:r w:rsidR="001F59AE">
        <w:rPr>
          <w:sz w:val="24"/>
          <w:szCs w:val="24"/>
        </w:rPr>
        <w:t>d</w:t>
      </w:r>
      <w:r>
        <w:rPr>
          <w:sz w:val="24"/>
          <w:szCs w:val="24"/>
        </w:rPr>
        <w:t>ual</w:t>
      </w:r>
      <w:r w:rsidR="004F00A6" w:rsidRPr="004F00A6">
        <w:rPr>
          <w:sz w:val="24"/>
          <w:szCs w:val="24"/>
        </w:rPr>
        <w:t xml:space="preserve"> TCI states</w:t>
      </w:r>
      <w:r>
        <w:rPr>
          <w:sz w:val="24"/>
          <w:szCs w:val="24"/>
        </w:rPr>
        <w:t xml:space="preserve"> of </w:t>
      </w:r>
      <w:r w:rsidRPr="002A58FE">
        <w:rPr>
          <w:sz w:val="24"/>
          <w:szCs w:val="24"/>
        </w:rPr>
        <w:t>reference signals</w:t>
      </w:r>
      <w:r w:rsidRPr="004F00A6">
        <w:rPr>
          <w:sz w:val="24"/>
          <w:szCs w:val="24"/>
        </w:rPr>
        <w:t xml:space="preserve"> </w:t>
      </w:r>
      <w:r w:rsidR="004F00A6" w:rsidRPr="004F00A6">
        <w:rPr>
          <w:sz w:val="24"/>
          <w:szCs w:val="24"/>
        </w:rPr>
        <w:t xml:space="preserve">were included in </w:t>
      </w:r>
      <w:bookmarkEnd w:id="1"/>
      <w:r w:rsidRPr="002A58FE">
        <w:rPr>
          <w:sz w:val="24"/>
          <w:szCs w:val="24"/>
        </w:rPr>
        <w:t>Rel-17 group-based beam reporting</w:t>
      </w:r>
      <w:r w:rsidR="00867B23">
        <w:rPr>
          <w:sz w:val="24"/>
          <w:szCs w:val="24"/>
        </w:rPr>
        <w:t>, or</w:t>
      </w:r>
    </w:p>
    <w:p w14:paraId="04FD3C39" w14:textId="07DA015A" w:rsidR="002A58FE" w:rsidRPr="002A58FE" w:rsidRDefault="002A58FE" w:rsidP="002A58FE">
      <w:pPr>
        <w:pStyle w:val="ListParagraph"/>
        <w:numPr>
          <w:ilvl w:val="0"/>
          <w:numId w:val="45"/>
        </w:numPr>
        <w:rPr>
          <w:b/>
          <w:szCs w:val="24"/>
          <w:lang w:eastAsia="zh-TW"/>
        </w:rPr>
      </w:pPr>
      <w:r w:rsidRPr="002A58FE">
        <w:rPr>
          <w:b/>
          <w:szCs w:val="24"/>
          <w:lang w:eastAsia="zh-TW"/>
        </w:rPr>
        <w:t xml:space="preserve">The dual TCI states which are QCL type D with the reference signals </w:t>
      </w:r>
      <w:r w:rsidR="001F59AE" w:rsidRPr="001F59AE">
        <w:rPr>
          <w:b/>
          <w:szCs w:val="24"/>
          <w:lang w:eastAsia="zh-TW"/>
        </w:rPr>
        <w:t>were included</w:t>
      </w:r>
      <w:r w:rsidRPr="002A58FE">
        <w:rPr>
          <w:b/>
          <w:szCs w:val="24"/>
          <w:lang w:eastAsia="zh-TW"/>
        </w:rPr>
        <w:t xml:space="preserve"> in Rel-17 group-based beam reporting.</w:t>
      </w:r>
    </w:p>
    <w:p w14:paraId="7AE09FC3" w14:textId="2A7A9DC1" w:rsidR="00DD116E" w:rsidRPr="00923E98" w:rsidRDefault="00DD116E" w:rsidP="00DD116E">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Detectable condition</w:t>
      </w:r>
    </w:p>
    <w:p w14:paraId="7E54DFD6" w14:textId="77777777" w:rsidR="002A58FE" w:rsidRDefault="002A58FE" w:rsidP="002A58FE">
      <w:pPr>
        <w:spacing w:before="100" w:beforeAutospacing="1" w:after="100" w:afterAutospacing="1"/>
        <w:jc w:val="both"/>
        <w:rPr>
          <w:rFonts w:eastAsia="新細明體"/>
          <w:lang w:val="en-GB"/>
        </w:rPr>
      </w:pPr>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2A58FE" w14:paraId="10DB549A" w14:textId="77777777" w:rsidTr="002A58FE">
        <w:tc>
          <w:tcPr>
            <w:tcW w:w="9629" w:type="dxa"/>
            <w:tcBorders>
              <w:top w:val="single" w:sz="4" w:space="0" w:color="auto"/>
              <w:left w:val="single" w:sz="4" w:space="0" w:color="auto"/>
              <w:bottom w:val="single" w:sz="4" w:space="0" w:color="auto"/>
              <w:right w:val="single" w:sz="4" w:space="0" w:color="auto"/>
            </w:tcBorders>
            <w:hideMark/>
          </w:tcPr>
          <w:p w14:paraId="191C05BD" w14:textId="77777777" w:rsidR="002A58FE" w:rsidRDefault="002A58FE">
            <w:pPr>
              <w:outlineLvl w:val="3"/>
              <w:rPr>
                <w:b/>
                <w:sz w:val="20"/>
                <w:szCs w:val="18"/>
                <w:u w:val="single"/>
                <w:lang w:eastAsia="ko-KR"/>
              </w:rPr>
            </w:pPr>
            <w:r>
              <w:rPr>
                <w:rFonts w:ascii="Times New Roman" w:hAnsi="Times New Roman" w:cs="Times New Roman"/>
                <w:b/>
                <w:bCs/>
                <w:color w:val="000000"/>
                <w:sz w:val="20"/>
                <w:szCs w:val="20"/>
                <w:u w:val="single"/>
                <w:lang w:val="en-GB" w:eastAsia="zh-CN"/>
              </w:rPr>
              <w:t>Issue 1-3-3: Detectable condition of RS signals</w:t>
            </w:r>
          </w:p>
          <w:p w14:paraId="6314D3D6" w14:textId="77777777" w:rsidR="002A58FE" w:rsidRDefault="002A58FE" w:rsidP="002A58FE">
            <w:pPr>
              <w:widowControl/>
              <w:numPr>
                <w:ilvl w:val="0"/>
                <w:numId w:val="46"/>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Proposals</w:t>
            </w:r>
          </w:p>
          <w:p w14:paraId="310FB114" w14:textId="77777777" w:rsidR="002A58FE" w:rsidRDefault="002A58FE" w:rsidP="002A58FE">
            <w:pPr>
              <w:widowControl/>
              <w:numPr>
                <w:ilvl w:val="1"/>
                <w:numId w:val="46"/>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 xml:space="preserve">Option 1: </w:t>
            </w:r>
          </w:p>
          <w:p w14:paraId="42091B2A" w14:textId="77777777" w:rsidR="002A58FE" w:rsidRDefault="002A58FE" w:rsidP="002A58FE">
            <w:pPr>
              <w:widowControl/>
              <w:numPr>
                <w:ilvl w:val="2"/>
                <w:numId w:val="46"/>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For detectable condition, all RSs in the same TCI chain for the target TCI state should remain detectable during the entire measurement/switch period.</w:t>
            </w:r>
          </w:p>
          <w:p w14:paraId="7263FE5C" w14:textId="77777777" w:rsidR="002A58FE" w:rsidRDefault="002A58FE" w:rsidP="002A58FE">
            <w:pPr>
              <w:widowControl/>
              <w:numPr>
                <w:ilvl w:val="1"/>
                <w:numId w:val="46"/>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 xml:space="preserve">Option 2: </w:t>
            </w:r>
          </w:p>
          <w:p w14:paraId="0122030A" w14:textId="77777777" w:rsidR="002A58FE" w:rsidRDefault="002A58FE" w:rsidP="002A58FE">
            <w:pPr>
              <w:widowControl/>
              <w:numPr>
                <w:ilvl w:val="2"/>
                <w:numId w:val="46"/>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kern w:val="0"/>
                <w:sz w:val="20"/>
                <w:szCs w:val="20"/>
                <w:lang w:val="en-GB" w:eastAsia="zh-CN"/>
              </w:rPr>
              <w:t>Both RSs and their associated signals in the QCL type D infos are detectable during the entire measurement/</w:t>
            </w:r>
            <w:r>
              <w:rPr>
                <w:rFonts w:ascii="Times New Roman" w:eastAsia="新細明體" w:hAnsi="Times New Roman" w:cs="Times New Roman"/>
                <w:kern w:val="0"/>
                <w:sz w:val="20"/>
                <w:szCs w:val="20"/>
                <w:highlight w:val="yellow"/>
                <w:lang w:val="en-GB" w:eastAsia="zh-CN"/>
              </w:rPr>
              <w:t>evaluation</w:t>
            </w:r>
            <w:r>
              <w:rPr>
                <w:rFonts w:ascii="Times New Roman" w:eastAsia="新細明體" w:hAnsi="Times New Roman" w:cs="Times New Roman"/>
                <w:kern w:val="0"/>
                <w:sz w:val="20"/>
                <w:szCs w:val="20"/>
                <w:lang w:val="en-GB" w:eastAsia="zh-CN"/>
              </w:rPr>
              <w:t>/TCI state switching period.</w:t>
            </w:r>
          </w:p>
        </w:tc>
      </w:tr>
    </w:tbl>
    <w:p w14:paraId="5F227FB1" w14:textId="1955DAA9" w:rsidR="002A58FE" w:rsidRDefault="002A58FE" w:rsidP="002A58FE">
      <w:pPr>
        <w:spacing w:before="100" w:beforeAutospacing="1" w:after="100" w:afterAutospacing="1"/>
        <w:jc w:val="both"/>
        <w:rPr>
          <w:rFonts w:eastAsia="新細明體"/>
          <w:lang w:val="en-GB"/>
        </w:rPr>
      </w:pPr>
      <w:r>
        <w:rPr>
          <w:rFonts w:eastAsia="新細明體"/>
          <w:lang w:val="en-GB"/>
        </w:rPr>
        <w:t>UE may take the other RS (E.g., SSB) which is in the same TCI chain as the tracking RS to perform UE Rx beam selection. Therefore, it would be more reliable if all RSs in the same TCI chain remain detectable during the entire measurement and evaluation period. Furthermore, as same QCL Type-D means that the 2 RS are transmitted from the same Tx spatial filter, we tend to believe that the detectability should be the same for all RS in the same TCI chain. So, the following proposal is suggested.</w:t>
      </w:r>
    </w:p>
    <w:p w14:paraId="1D1E5D0E" w14:textId="6729950E" w:rsidR="002A58FE" w:rsidRDefault="002A58FE" w:rsidP="002A58FE">
      <w:pPr>
        <w:pStyle w:val="Caption"/>
        <w:rPr>
          <w:sz w:val="24"/>
          <w:szCs w:val="24"/>
        </w:rPr>
      </w:pPr>
      <w:bookmarkStart w:id="2" w:name="_Ref131708772"/>
      <w:r>
        <w:rPr>
          <w:sz w:val="24"/>
          <w:szCs w:val="24"/>
        </w:rPr>
        <w:t xml:space="preserve">Proposal </w:t>
      </w:r>
      <w:r>
        <w:fldChar w:fldCharType="begin"/>
      </w:r>
      <w:r>
        <w:rPr>
          <w:sz w:val="24"/>
          <w:szCs w:val="24"/>
        </w:rPr>
        <w:instrText xml:space="preserve"> SEQ Proposal \* ARABIC </w:instrText>
      </w:r>
      <w:r>
        <w:fldChar w:fldCharType="separate"/>
      </w:r>
      <w:r w:rsidR="00E75461">
        <w:rPr>
          <w:noProof/>
          <w:sz w:val="24"/>
          <w:szCs w:val="24"/>
        </w:rPr>
        <w:t>3</w:t>
      </w:r>
      <w:r>
        <w:fldChar w:fldCharType="end"/>
      </w:r>
      <w:r>
        <w:rPr>
          <w:sz w:val="24"/>
          <w:szCs w:val="24"/>
        </w:rPr>
        <w:t>: For detectable condition, all RSs in the same TCI chain for the target TCI state should remain detectable during the entire measurement/evaluation/TCI state switch period.</w:t>
      </w:r>
      <w:bookmarkEnd w:id="2"/>
    </w:p>
    <w:p w14:paraId="5886DA6E" w14:textId="0DB2519A" w:rsidR="004F00A6" w:rsidRDefault="004F00A6" w:rsidP="00C86203">
      <w:pPr>
        <w:rPr>
          <w:rFonts w:eastAsia="新細明體" w:cstheme="minorHAnsi"/>
          <w:szCs w:val="24"/>
        </w:rPr>
      </w:pPr>
    </w:p>
    <w:p w14:paraId="20225672" w14:textId="7735A0AA" w:rsidR="002A58FE" w:rsidRDefault="002A58FE" w:rsidP="002A58FE">
      <w:pPr>
        <w:pStyle w:val="Heading2"/>
        <w:numPr>
          <w:ilvl w:val="1"/>
          <w:numId w:val="45"/>
        </w:numPr>
        <w:spacing w:before="100" w:beforeAutospacing="1" w:after="100" w:afterAutospacing="1"/>
        <w:jc w:val="both"/>
        <w:rPr>
          <w:rFonts w:asciiTheme="minorHAnsi" w:eastAsia="新細明體" w:hAnsiTheme="minorHAnsi" w:cstheme="minorHAnsi"/>
          <w:szCs w:val="32"/>
          <w:lang w:eastAsia="zh-TW"/>
        </w:rPr>
      </w:pPr>
      <w:r w:rsidRPr="002A58FE">
        <w:rPr>
          <w:rFonts w:asciiTheme="minorHAnsi" w:eastAsia="新細明體" w:hAnsiTheme="minorHAnsi" w:cstheme="minorHAnsi"/>
          <w:szCs w:val="32"/>
          <w:lang w:eastAsia="zh-TW"/>
        </w:rPr>
        <w:lastRenderedPageBreak/>
        <w:t>Active TCI state list update</w:t>
      </w:r>
    </w:p>
    <w:p w14:paraId="1F3E66A3" w14:textId="34998C58" w:rsidR="002A58FE" w:rsidRDefault="002A58FE" w:rsidP="002A58FE">
      <w:pPr>
        <w:spacing w:before="100" w:beforeAutospacing="1" w:after="100" w:afterAutospacing="1"/>
        <w:jc w:val="both"/>
        <w:rPr>
          <w:rFonts w:eastAsia="新細明體"/>
          <w:lang w:val="en-GB"/>
        </w:rPr>
      </w:pPr>
      <w:r>
        <w:rPr>
          <w:rFonts w:eastAsia="新細明體"/>
          <w:lang w:val="en-GB"/>
        </w:rPr>
        <w:t xml:space="preserve">As below, there is one open issue regarding active TCI state list update in the last meeting. </w:t>
      </w:r>
    </w:p>
    <w:tbl>
      <w:tblPr>
        <w:tblStyle w:val="TableGrid"/>
        <w:tblW w:w="0" w:type="auto"/>
        <w:tblLook w:val="04A0" w:firstRow="1" w:lastRow="0" w:firstColumn="1" w:lastColumn="0" w:noHBand="0" w:noVBand="1"/>
      </w:tblPr>
      <w:tblGrid>
        <w:gridCol w:w="9629"/>
      </w:tblGrid>
      <w:tr w:rsidR="002A58FE" w14:paraId="5D88DF82" w14:textId="77777777" w:rsidTr="000D4C79">
        <w:tc>
          <w:tcPr>
            <w:tcW w:w="9629" w:type="dxa"/>
            <w:tcBorders>
              <w:top w:val="single" w:sz="4" w:space="0" w:color="auto"/>
              <w:left w:val="single" w:sz="4" w:space="0" w:color="auto"/>
              <w:bottom w:val="single" w:sz="4" w:space="0" w:color="auto"/>
              <w:right w:val="single" w:sz="4" w:space="0" w:color="auto"/>
            </w:tcBorders>
            <w:hideMark/>
          </w:tcPr>
          <w:p w14:paraId="7AF0EE4F" w14:textId="06353DF4" w:rsidR="002A58FE" w:rsidRPr="002A58FE" w:rsidRDefault="002A58FE" w:rsidP="002A58FE">
            <w:pPr>
              <w:widowControl/>
              <w:spacing w:after="180"/>
              <w:rPr>
                <w:rFonts w:ascii="Times New Roman" w:eastAsia="新細明體" w:hAnsi="Times New Roman" w:cs="Times New Roman"/>
                <w:color w:val="000000"/>
                <w:kern w:val="0"/>
                <w:sz w:val="20"/>
                <w:szCs w:val="20"/>
                <w:lang w:val="en-GB"/>
              </w:rPr>
            </w:pPr>
            <w:r w:rsidRPr="002A58FE">
              <w:rPr>
                <w:rFonts w:ascii="Times New Roman" w:eastAsia="新細明體" w:hAnsi="Times New Roman" w:cs="Times New Roman"/>
                <w:b/>
                <w:bCs/>
                <w:color w:val="000000"/>
                <w:kern w:val="0"/>
                <w:sz w:val="20"/>
                <w:szCs w:val="20"/>
                <w:u w:val="single"/>
                <w:lang w:val="en-GB"/>
              </w:rPr>
              <w:t>Issue 2-6-1: Active TCI state list update</w:t>
            </w:r>
          </w:p>
          <w:p w14:paraId="7E39A06D" w14:textId="0776FDBD" w:rsidR="002A58FE" w:rsidRPr="002A58FE" w:rsidRDefault="002A58FE" w:rsidP="002A58FE">
            <w:pPr>
              <w:widowControl/>
              <w:spacing w:after="120"/>
              <w:rPr>
                <w:rFonts w:ascii="Times New Roman" w:eastAsia="新細明體" w:hAnsi="Times New Roman" w:cs="Times New Roman"/>
                <w:kern w:val="0"/>
                <w:sz w:val="20"/>
                <w:szCs w:val="20"/>
                <w:lang w:val="en-GB"/>
              </w:rPr>
            </w:pPr>
            <w:r w:rsidRPr="002A58FE">
              <w:rPr>
                <w:rFonts w:ascii="Times New Roman" w:eastAsia="新細明體" w:hAnsi="Times New Roman" w:cs="Times New Roman"/>
                <w:i/>
                <w:iCs/>
                <w:kern w:val="0"/>
                <w:sz w:val="20"/>
                <w:szCs w:val="20"/>
                <w:highlight w:val="green"/>
                <w:lang w:val="en-GB"/>
              </w:rPr>
              <w:t>Agreements</w:t>
            </w:r>
            <w:r w:rsidRPr="002A58FE">
              <w:rPr>
                <w:rFonts w:ascii="Times New Roman" w:eastAsia="新細明體" w:hAnsi="Times New Roman" w:cs="Times New Roman"/>
                <w:i/>
                <w:iCs/>
                <w:kern w:val="0"/>
                <w:sz w:val="20"/>
                <w:szCs w:val="20"/>
                <w:lang w:val="en-GB"/>
              </w:rPr>
              <w:t xml:space="preserve">: For active TCI state list update for addition of a new dual TCI states, legacy requirements can be used as baseline. </w:t>
            </w:r>
            <w:r w:rsidRPr="002A58FE">
              <w:rPr>
                <w:rFonts w:ascii="Times New Roman" w:eastAsia="新細明體" w:hAnsi="Times New Roman" w:cs="Times New Roman"/>
                <w:i/>
                <w:iCs/>
                <w:kern w:val="0"/>
                <w:sz w:val="20"/>
                <w:szCs w:val="20"/>
                <w:highlight w:val="yellow"/>
                <w:lang w:val="en-GB"/>
              </w:rPr>
              <w:t>FFS</w:t>
            </w:r>
            <w:r w:rsidRPr="002A58FE">
              <w:rPr>
                <w:rFonts w:ascii="Times New Roman" w:eastAsia="新細明體" w:hAnsi="Times New Roman" w:cs="Times New Roman"/>
                <w:i/>
                <w:iCs/>
                <w:kern w:val="0"/>
                <w:sz w:val="20"/>
                <w:szCs w:val="20"/>
                <w:lang w:val="en-GB"/>
              </w:rPr>
              <w:t xml:space="preserve"> if T/F tracking for the dual TCI states are based on different SSBs.</w:t>
            </w:r>
          </w:p>
          <w:p w14:paraId="56DB5F1E" w14:textId="2B73CBC1" w:rsidR="002A58FE" w:rsidRPr="002A58FE" w:rsidRDefault="002A58FE" w:rsidP="002A58FE">
            <w:pPr>
              <w:widowControl/>
              <w:spacing w:after="120"/>
              <w:ind w:left="288"/>
              <w:rPr>
                <w:rFonts w:ascii="Calibri" w:eastAsia="新細明體" w:hAnsi="Calibri" w:cs="Calibri"/>
                <w:kern w:val="0"/>
                <w:sz w:val="22"/>
                <w:lang w:val="en-GB"/>
              </w:rPr>
            </w:pPr>
            <w:r w:rsidRPr="002A58FE">
              <w:rPr>
                <w:rFonts w:ascii="Times New Roman" w:eastAsia="新細明體" w:hAnsi="Times New Roman" w:cs="Times New Roman"/>
                <w:kern w:val="0"/>
                <w:sz w:val="20"/>
                <w:szCs w:val="20"/>
                <w:lang w:val="en-GB"/>
              </w:rPr>
              <w:t> </w:t>
            </w:r>
            <w:r w:rsidRPr="002A58FE">
              <w:rPr>
                <w:rFonts w:ascii="Times New Roman" w:eastAsia="新細明體" w:hAnsi="Times New Roman" w:cs="Times New Roman"/>
                <w:color w:val="0070C0"/>
                <w:kern w:val="0"/>
                <w:sz w:val="20"/>
                <w:szCs w:val="20"/>
                <w:lang w:val="en-GB"/>
              </w:rPr>
              <w:t>Proposals</w:t>
            </w:r>
          </w:p>
          <w:p w14:paraId="38DCDBAA" w14:textId="65C5F0DA" w:rsidR="002A58FE" w:rsidRPr="002A58FE" w:rsidRDefault="002A58FE" w:rsidP="002A58FE">
            <w:pPr>
              <w:widowControl/>
              <w:numPr>
                <w:ilvl w:val="1"/>
                <w:numId w:val="46"/>
              </w:numPr>
              <w:spacing w:after="180"/>
              <w:textAlignment w:val="center"/>
              <w:rPr>
                <w:rFonts w:ascii="Calibri" w:eastAsia="新細明體" w:hAnsi="Calibri" w:cs="Calibri"/>
                <w:kern w:val="0"/>
                <w:sz w:val="22"/>
                <w:lang w:val="en-GB"/>
              </w:rPr>
            </w:pPr>
            <w:r w:rsidRPr="002A58FE">
              <w:rPr>
                <w:rFonts w:ascii="Times New Roman" w:eastAsia="新細明體" w:hAnsi="Times New Roman" w:cs="Times New Roman"/>
                <w:color w:val="0070C0"/>
                <w:kern w:val="0"/>
                <w:sz w:val="20"/>
                <w:szCs w:val="20"/>
                <w:lang w:val="en-GB"/>
              </w:rPr>
              <w:t>Option 1</w:t>
            </w:r>
            <w:r>
              <w:rPr>
                <w:rFonts w:ascii="Times New Roman" w:eastAsia="新細明體" w:hAnsi="Times New Roman" w:cs="Times New Roman"/>
                <w:color w:val="0070C0"/>
                <w:kern w:val="0"/>
                <w:sz w:val="20"/>
                <w:szCs w:val="20"/>
                <w:lang w:val="en-GB"/>
              </w:rPr>
              <w:t>(Intel)</w:t>
            </w:r>
            <w:r w:rsidRPr="002A58FE">
              <w:rPr>
                <w:rFonts w:ascii="Times New Roman" w:eastAsia="新細明體" w:hAnsi="Times New Roman" w:cs="Times New Roman"/>
                <w:color w:val="0070C0"/>
                <w:kern w:val="0"/>
                <w:sz w:val="20"/>
                <w:szCs w:val="20"/>
                <w:lang w:val="en-GB"/>
              </w:rPr>
              <w:t xml:space="preserve">: RAN4 to further discuss whether to define two types of TCI state list update delay requirement for sDCI and mDCI respectively, or just define a common one   </w:t>
            </w:r>
          </w:p>
          <w:p w14:paraId="0BE3D377" w14:textId="474E3677" w:rsidR="002A58FE" w:rsidRPr="002A58FE" w:rsidRDefault="002A58FE" w:rsidP="002A58FE">
            <w:pPr>
              <w:widowControl/>
              <w:numPr>
                <w:ilvl w:val="1"/>
                <w:numId w:val="46"/>
              </w:numPr>
              <w:spacing w:after="180"/>
              <w:textAlignment w:val="center"/>
              <w:rPr>
                <w:rFonts w:ascii="Calibri" w:eastAsia="新細明體" w:hAnsi="Calibri" w:cs="Calibri"/>
                <w:kern w:val="0"/>
                <w:sz w:val="22"/>
                <w:lang w:val="en-GB"/>
              </w:rPr>
            </w:pPr>
            <w:r w:rsidRPr="002A58FE">
              <w:rPr>
                <w:rFonts w:ascii="Times New Roman" w:eastAsia="新細明體" w:hAnsi="Times New Roman" w:cs="Times New Roman"/>
                <w:color w:val="0070C0"/>
                <w:kern w:val="0"/>
                <w:sz w:val="20"/>
                <w:szCs w:val="20"/>
                <w:lang w:val="en-GB"/>
              </w:rPr>
              <w:t>Option 2</w:t>
            </w:r>
            <w:r>
              <w:rPr>
                <w:rFonts w:ascii="Times New Roman" w:eastAsia="新細明體" w:hAnsi="Times New Roman" w:cs="Times New Roman"/>
                <w:color w:val="0070C0"/>
                <w:kern w:val="0"/>
                <w:sz w:val="20"/>
                <w:szCs w:val="20"/>
                <w:lang w:val="en-GB"/>
              </w:rPr>
              <w:t>(vivo)</w:t>
            </w:r>
            <w:r w:rsidRPr="002A58FE">
              <w:rPr>
                <w:rFonts w:ascii="Times New Roman" w:eastAsia="新細明體" w:hAnsi="Times New Roman" w:cs="Times New Roman"/>
                <w:color w:val="0070C0"/>
                <w:kern w:val="0"/>
                <w:sz w:val="20"/>
                <w:szCs w:val="20"/>
                <w:lang w:val="en-GB"/>
              </w:rPr>
              <w:t xml:space="preserve">: For active TCI state list update, requirements for addition of dual TCI states should be specified. </w:t>
            </w:r>
          </w:p>
          <w:p w14:paraId="3E343361" w14:textId="5861D8B5" w:rsidR="002A58FE" w:rsidRPr="002A58FE" w:rsidRDefault="002A58FE" w:rsidP="002A58FE">
            <w:pPr>
              <w:widowControl/>
              <w:numPr>
                <w:ilvl w:val="1"/>
                <w:numId w:val="46"/>
              </w:numPr>
              <w:spacing w:after="180"/>
              <w:textAlignment w:val="center"/>
              <w:rPr>
                <w:rFonts w:ascii="Calibri" w:eastAsia="新細明體" w:hAnsi="Calibri" w:cs="Calibri"/>
                <w:kern w:val="0"/>
                <w:sz w:val="22"/>
                <w:lang w:val="en-GB"/>
              </w:rPr>
            </w:pPr>
            <w:r w:rsidRPr="002A58FE">
              <w:rPr>
                <w:rFonts w:ascii="Times New Roman" w:eastAsia="新細明體" w:hAnsi="Times New Roman" w:cs="Times New Roman"/>
                <w:color w:val="0070C0"/>
                <w:kern w:val="0"/>
                <w:sz w:val="20"/>
                <w:szCs w:val="20"/>
                <w:lang w:val="en-GB"/>
              </w:rPr>
              <w:t>Option 3</w:t>
            </w:r>
            <w:r>
              <w:rPr>
                <w:rFonts w:ascii="Times New Roman" w:eastAsia="新細明體" w:hAnsi="Times New Roman" w:cs="Times New Roman"/>
                <w:color w:val="0070C0"/>
                <w:kern w:val="0"/>
                <w:sz w:val="20"/>
                <w:szCs w:val="20"/>
                <w:lang w:val="en-GB"/>
              </w:rPr>
              <w:t>(vivo)</w:t>
            </w:r>
            <w:r w:rsidRPr="002A58FE">
              <w:rPr>
                <w:rFonts w:ascii="Times New Roman" w:eastAsia="新細明體" w:hAnsi="Times New Roman" w:cs="Times New Roman"/>
                <w:color w:val="0070C0"/>
                <w:kern w:val="0"/>
                <w:sz w:val="20"/>
                <w:szCs w:val="20"/>
                <w:lang w:val="en-GB"/>
              </w:rPr>
              <w:t>: For active TCI state list update for addition of a new dual TCI states, legacy requirements can be used as baseline. FFS if T/F tracking for the dual TCI states are based on different SSBs.</w:t>
            </w:r>
          </w:p>
          <w:p w14:paraId="73A3DE16" w14:textId="2788891B" w:rsidR="002A58FE" w:rsidRPr="002A58FE" w:rsidRDefault="002A58FE" w:rsidP="002A58FE">
            <w:pPr>
              <w:widowControl/>
              <w:numPr>
                <w:ilvl w:val="1"/>
                <w:numId w:val="46"/>
              </w:numPr>
              <w:spacing w:after="180"/>
              <w:textAlignment w:val="center"/>
              <w:rPr>
                <w:rFonts w:ascii="Calibri" w:eastAsia="新細明體" w:hAnsi="Calibri" w:cs="Calibri"/>
                <w:kern w:val="0"/>
                <w:sz w:val="22"/>
                <w:lang w:val="en-GB"/>
              </w:rPr>
            </w:pPr>
            <w:r w:rsidRPr="002A58FE">
              <w:rPr>
                <w:rFonts w:ascii="Times New Roman" w:eastAsia="新細明體" w:hAnsi="Times New Roman" w:cs="Times New Roman"/>
                <w:color w:val="0070C0"/>
                <w:kern w:val="0"/>
                <w:sz w:val="20"/>
                <w:szCs w:val="20"/>
                <w:lang w:val="en-GB"/>
              </w:rPr>
              <w:t>Option 4</w:t>
            </w:r>
            <w:r>
              <w:rPr>
                <w:rFonts w:ascii="Times New Roman" w:eastAsia="新細明體" w:hAnsi="Times New Roman" w:cs="Times New Roman"/>
                <w:color w:val="0070C0"/>
                <w:kern w:val="0"/>
                <w:sz w:val="20"/>
                <w:szCs w:val="20"/>
                <w:lang w:val="en-GB"/>
              </w:rPr>
              <w:t>(Ericsson)</w:t>
            </w:r>
            <w:r w:rsidRPr="002A58FE">
              <w:rPr>
                <w:rFonts w:ascii="Times New Roman" w:eastAsia="新細明體" w:hAnsi="Times New Roman" w:cs="Times New Roman"/>
                <w:color w:val="0070C0"/>
                <w:kern w:val="0"/>
                <w:sz w:val="20"/>
                <w:szCs w:val="20"/>
                <w:lang w:val="en-GB"/>
              </w:rPr>
              <w:t>: Reuse the legacy requirements for the scenario when the RS occasions fully overlap. FFS for the case when the RS occasions are partially overlap.</w:t>
            </w:r>
          </w:p>
          <w:p w14:paraId="708BE7A1" w14:textId="5DBBE6F1" w:rsidR="002A58FE" w:rsidRPr="002A58FE" w:rsidRDefault="002A58FE" w:rsidP="002A58FE">
            <w:pPr>
              <w:widowControl/>
              <w:numPr>
                <w:ilvl w:val="1"/>
                <w:numId w:val="46"/>
              </w:numPr>
              <w:spacing w:after="180"/>
              <w:textAlignment w:val="center"/>
              <w:rPr>
                <w:rFonts w:ascii="Calibri" w:eastAsia="新細明體" w:hAnsi="Calibri" w:cs="Calibri"/>
                <w:kern w:val="0"/>
                <w:sz w:val="22"/>
                <w:lang w:val="en-GB"/>
              </w:rPr>
            </w:pPr>
            <w:r w:rsidRPr="002A58FE">
              <w:rPr>
                <w:rFonts w:ascii="Times New Roman" w:eastAsia="新細明體" w:hAnsi="Times New Roman" w:cs="Times New Roman"/>
                <w:color w:val="0070C0"/>
                <w:kern w:val="0"/>
                <w:sz w:val="20"/>
                <w:szCs w:val="20"/>
                <w:lang w:val="en-GB"/>
              </w:rPr>
              <w:t>Option 5</w:t>
            </w:r>
            <w:r>
              <w:rPr>
                <w:rFonts w:ascii="Times New Roman" w:eastAsia="新細明體" w:hAnsi="Times New Roman" w:cs="Times New Roman"/>
                <w:color w:val="0070C0"/>
                <w:kern w:val="0"/>
                <w:sz w:val="20"/>
                <w:szCs w:val="20"/>
                <w:lang w:val="en-GB"/>
              </w:rPr>
              <w:t>(Ericsson)</w:t>
            </w:r>
            <w:r w:rsidRPr="002A58FE">
              <w:rPr>
                <w:rFonts w:ascii="Times New Roman" w:eastAsia="新細明體" w:hAnsi="Times New Roman" w:cs="Times New Roman"/>
                <w:color w:val="0070C0"/>
                <w:kern w:val="0"/>
                <w:sz w:val="20"/>
                <w:szCs w:val="20"/>
                <w:lang w:val="en-GB"/>
              </w:rPr>
              <w:t>: For switching/replacing of one of the two active TCI states, the existing requirements can be reused, but some clarification in the specification is necessary.</w:t>
            </w:r>
          </w:p>
          <w:p w14:paraId="70C55633" w14:textId="53557359" w:rsidR="002A58FE" w:rsidRPr="002A58FE" w:rsidRDefault="002A58FE" w:rsidP="002A58FE">
            <w:pPr>
              <w:widowControl/>
              <w:numPr>
                <w:ilvl w:val="1"/>
                <w:numId w:val="46"/>
              </w:numPr>
              <w:spacing w:after="180"/>
              <w:textAlignment w:val="center"/>
              <w:rPr>
                <w:rFonts w:ascii="Calibri" w:eastAsia="新細明體" w:hAnsi="Calibri" w:cs="Calibri"/>
                <w:kern w:val="0"/>
                <w:sz w:val="22"/>
              </w:rPr>
            </w:pPr>
            <w:r w:rsidRPr="002A58FE">
              <w:rPr>
                <w:rFonts w:ascii="Times New Roman" w:eastAsia="新細明體" w:hAnsi="Times New Roman" w:cs="Times New Roman"/>
                <w:color w:val="0070C0"/>
                <w:kern w:val="0"/>
                <w:sz w:val="20"/>
                <w:szCs w:val="20"/>
                <w:lang w:val="en-GB"/>
              </w:rPr>
              <w:t>Option 6</w:t>
            </w:r>
            <w:r w:rsidRPr="002A58FE">
              <w:rPr>
                <w:rFonts w:ascii="Times New Roman" w:eastAsia="新細明體" w:hAnsi="Times New Roman" w:cs="Times New Roman"/>
                <w:color w:val="0070C0"/>
                <w:kern w:val="0"/>
                <w:sz w:val="20"/>
                <w:szCs w:val="20"/>
              </w:rPr>
              <w:t>(Nokia)</w:t>
            </w:r>
            <w:r w:rsidRPr="002A58FE">
              <w:rPr>
                <w:rFonts w:ascii="Times New Roman" w:eastAsia="新細明體" w:hAnsi="Times New Roman" w:cs="Times New Roman"/>
                <w:color w:val="0070C0"/>
                <w:kern w:val="0"/>
                <w:sz w:val="20"/>
                <w:szCs w:val="20"/>
                <w:lang w:val="en-GB"/>
              </w:rPr>
              <w:t>: If a pair of TCI states is activated by MAC-CE command, consider the first SSB of each TCI state for activation time while arriving at the active TCI state list update delay requirements for dual TCI states.</w:t>
            </w:r>
          </w:p>
        </w:tc>
      </w:tr>
    </w:tbl>
    <w:p w14:paraId="1D363F23" w14:textId="754F5EDB" w:rsidR="002A58FE" w:rsidRDefault="002A58FE" w:rsidP="002A58FE">
      <w:pPr>
        <w:rPr>
          <w:rFonts w:eastAsia="新細明體"/>
          <w:lang w:val="en-GB"/>
        </w:rPr>
      </w:pPr>
    </w:p>
    <w:p w14:paraId="00F6FFA2" w14:textId="4920CE6F" w:rsidR="002A58FE" w:rsidRDefault="002A58FE" w:rsidP="002A58FE">
      <w:pPr>
        <w:rPr>
          <w:rFonts w:eastAsia="新細明體"/>
          <w:lang w:val="en-GB"/>
        </w:rPr>
      </w:pPr>
      <w:r>
        <w:rPr>
          <w:rFonts w:eastAsia="新細明體" w:hint="eastAsia"/>
          <w:lang w:val="en-GB"/>
        </w:rPr>
        <w:t>F</w:t>
      </w:r>
      <w:r>
        <w:rPr>
          <w:rFonts w:eastAsia="新細明體"/>
          <w:lang w:val="en-GB"/>
        </w:rPr>
        <w:t xml:space="preserve">rom </w:t>
      </w:r>
      <w:r w:rsidR="003F0355">
        <w:rPr>
          <w:rFonts w:eastAsia="新細明體"/>
          <w:lang w:val="en-GB"/>
        </w:rPr>
        <w:t xml:space="preserve">above </w:t>
      </w:r>
      <w:r>
        <w:rPr>
          <w:rFonts w:eastAsia="新細明體"/>
          <w:lang w:val="en-GB"/>
        </w:rPr>
        <w:t xml:space="preserve">agreement, active TCI state list update for addition of a new dual TCI states, legacy requirement can be reused as baseline. For the FFS, we think dual TCI states basically are associated with different SSBs. In this WI, RAN4 only consider intra-cell mTRP and the dual TCI states with different QCL type D must </w:t>
      </w:r>
      <w:r w:rsidR="003F0355">
        <w:rPr>
          <w:rFonts w:eastAsia="新細明體"/>
          <w:lang w:val="en-GB"/>
        </w:rPr>
        <w:t xml:space="preserve">base on </w:t>
      </w:r>
      <w:r>
        <w:rPr>
          <w:rFonts w:eastAsia="新細明體"/>
          <w:lang w:val="en-GB"/>
        </w:rPr>
        <w:t>different SSBs. So, the following proposal is suggested.</w:t>
      </w:r>
    </w:p>
    <w:p w14:paraId="6BFAF248" w14:textId="5FFDE38F" w:rsidR="002A58FE" w:rsidRPr="002A58FE" w:rsidRDefault="002A58FE" w:rsidP="002A58FE">
      <w:pPr>
        <w:pStyle w:val="Caption"/>
        <w:rPr>
          <w:sz w:val="24"/>
          <w:szCs w:val="24"/>
        </w:rPr>
      </w:pPr>
      <w:bookmarkStart w:id="3" w:name="_Ref134190464"/>
      <w:r w:rsidRPr="002A58FE">
        <w:rPr>
          <w:sz w:val="24"/>
          <w:szCs w:val="24"/>
        </w:rPr>
        <w:t xml:space="preserve">Proposal </w:t>
      </w:r>
      <w:r w:rsidRPr="002A58FE">
        <w:rPr>
          <w:sz w:val="24"/>
          <w:szCs w:val="24"/>
        </w:rPr>
        <w:fldChar w:fldCharType="begin"/>
      </w:r>
      <w:r w:rsidRPr="002A58FE">
        <w:rPr>
          <w:sz w:val="24"/>
          <w:szCs w:val="24"/>
        </w:rPr>
        <w:instrText xml:space="preserve"> SEQ Proposal \* ARABIC </w:instrText>
      </w:r>
      <w:r w:rsidRPr="002A58FE">
        <w:rPr>
          <w:sz w:val="24"/>
          <w:szCs w:val="24"/>
        </w:rPr>
        <w:fldChar w:fldCharType="separate"/>
      </w:r>
      <w:r w:rsidR="00E75461">
        <w:rPr>
          <w:noProof/>
          <w:sz w:val="24"/>
          <w:szCs w:val="24"/>
        </w:rPr>
        <w:t>4</w:t>
      </w:r>
      <w:r w:rsidRPr="002A58FE">
        <w:rPr>
          <w:sz w:val="24"/>
          <w:szCs w:val="24"/>
        </w:rPr>
        <w:fldChar w:fldCharType="end"/>
      </w:r>
      <w:r w:rsidRPr="002A58FE">
        <w:rPr>
          <w:sz w:val="24"/>
          <w:szCs w:val="24"/>
        </w:rPr>
        <w:t>: T/F tracking for the dual TCI states are based on different SSBs in this WI.</w:t>
      </w:r>
      <w:bookmarkEnd w:id="3"/>
    </w:p>
    <w:p w14:paraId="7DB1FD50" w14:textId="304FEEA8" w:rsidR="002A58FE" w:rsidRDefault="002A58FE" w:rsidP="002A58FE">
      <w:pPr>
        <w:rPr>
          <w:rFonts w:eastAsia="新細明體"/>
          <w:lang w:val="en-GB"/>
        </w:rPr>
      </w:pPr>
    </w:p>
    <w:p w14:paraId="605B0910" w14:textId="18AB22E6" w:rsidR="002A58FE" w:rsidRPr="002A58FE" w:rsidRDefault="002A58FE" w:rsidP="002A58FE">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4</w:t>
      </w:r>
      <w:r w:rsidRPr="00923E98">
        <w:rPr>
          <w:rFonts w:asciiTheme="minorHAnsi" w:hAnsiTheme="minorHAnsi" w:cstheme="minorHAnsi"/>
          <w:szCs w:val="32"/>
        </w:rPr>
        <w:t xml:space="preserve"> </w:t>
      </w:r>
      <w:r w:rsidRPr="002A58FE">
        <w:rPr>
          <w:rFonts w:asciiTheme="minorHAnsi" w:eastAsia="新細明體" w:hAnsiTheme="minorHAnsi" w:cstheme="minorHAnsi"/>
          <w:szCs w:val="32"/>
          <w:lang w:eastAsia="zh-TW"/>
        </w:rPr>
        <w:t>RRC based TCI state switch</w:t>
      </w:r>
    </w:p>
    <w:p w14:paraId="3D8C5FC9" w14:textId="558A525D" w:rsidR="002A58FE" w:rsidRDefault="002A58FE" w:rsidP="002A58FE">
      <w:pPr>
        <w:spacing w:before="100" w:beforeAutospacing="1" w:after="100" w:afterAutospacing="1"/>
        <w:jc w:val="both"/>
        <w:rPr>
          <w:rFonts w:eastAsia="新細明體"/>
          <w:lang w:val="en-GB"/>
        </w:rPr>
      </w:pPr>
      <w:r>
        <w:rPr>
          <w:rFonts w:eastAsia="新細明體"/>
          <w:lang w:val="en-GB"/>
        </w:rPr>
        <w:t xml:space="preserve">As below, there is one open issue regarding RRC based TCI state switch in the last meeting. </w:t>
      </w:r>
    </w:p>
    <w:tbl>
      <w:tblPr>
        <w:tblStyle w:val="TableGrid"/>
        <w:tblW w:w="0" w:type="auto"/>
        <w:tblLook w:val="04A0" w:firstRow="1" w:lastRow="0" w:firstColumn="1" w:lastColumn="0" w:noHBand="0" w:noVBand="1"/>
      </w:tblPr>
      <w:tblGrid>
        <w:gridCol w:w="9629"/>
      </w:tblGrid>
      <w:tr w:rsidR="002A58FE" w14:paraId="04286247" w14:textId="77777777" w:rsidTr="000D4C79">
        <w:tc>
          <w:tcPr>
            <w:tcW w:w="9629" w:type="dxa"/>
            <w:tcBorders>
              <w:top w:val="single" w:sz="4" w:space="0" w:color="auto"/>
              <w:left w:val="single" w:sz="4" w:space="0" w:color="auto"/>
              <w:bottom w:val="single" w:sz="4" w:space="0" w:color="auto"/>
              <w:right w:val="single" w:sz="4" w:space="0" w:color="auto"/>
            </w:tcBorders>
            <w:hideMark/>
          </w:tcPr>
          <w:p w14:paraId="43CC7A22" w14:textId="77777777" w:rsidR="002A58FE" w:rsidRDefault="002A58FE" w:rsidP="002A58FE">
            <w:pPr>
              <w:widowControl/>
              <w:spacing w:after="120"/>
              <w:textAlignment w:val="center"/>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Issue 2-4-1: Whether to define requirements for RRC based TCI state switch</w:t>
            </w:r>
          </w:p>
          <w:p w14:paraId="548B7110" w14:textId="77777777" w:rsidR="002A58FE" w:rsidRPr="002A58FE" w:rsidRDefault="002A58FE" w:rsidP="002A58FE">
            <w:pPr>
              <w:widowControl/>
              <w:spacing w:after="180"/>
              <w:rPr>
                <w:rFonts w:ascii="Times New Roman" w:eastAsia="新細明體" w:hAnsi="Times New Roman" w:cs="Times New Roman"/>
                <w:kern w:val="0"/>
                <w:sz w:val="20"/>
                <w:szCs w:val="20"/>
                <w:lang w:val="en-GB"/>
              </w:rPr>
            </w:pPr>
            <w:r w:rsidRPr="002A58FE">
              <w:rPr>
                <w:rFonts w:ascii="Times New Roman" w:eastAsia="新細明體" w:hAnsi="Times New Roman" w:cs="Times New Roman"/>
                <w:i/>
                <w:iCs/>
                <w:kern w:val="0"/>
                <w:sz w:val="20"/>
                <w:szCs w:val="20"/>
                <w:highlight w:val="yellow"/>
                <w:lang w:val="en-GB"/>
              </w:rPr>
              <w:t>Way forward</w:t>
            </w:r>
            <w:r w:rsidRPr="002A58FE">
              <w:rPr>
                <w:rFonts w:ascii="Times New Roman" w:eastAsia="新細明體" w:hAnsi="Times New Roman" w:cs="Times New Roman"/>
                <w:i/>
                <w:iCs/>
                <w:kern w:val="0"/>
                <w:sz w:val="20"/>
                <w:szCs w:val="20"/>
                <w:lang w:val="en-GB"/>
              </w:rPr>
              <w:t xml:space="preserve">: Please bring further analysis to next meeting. </w:t>
            </w:r>
          </w:p>
          <w:p w14:paraId="5351CCBD" w14:textId="473D7D8F" w:rsidR="002A58FE" w:rsidRDefault="002A58FE" w:rsidP="002A58FE">
            <w:pPr>
              <w:widowControl/>
              <w:spacing w:after="180"/>
              <w:rPr>
                <w:rFonts w:ascii="Calibri" w:eastAsia="新細明體" w:hAnsi="Calibri" w:cs="Calibri"/>
                <w:kern w:val="0"/>
                <w:sz w:val="22"/>
                <w:lang w:val="en-GB" w:eastAsia="zh-CN"/>
              </w:rPr>
            </w:pPr>
            <w:r w:rsidRPr="002A58FE">
              <w:rPr>
                <w:rFonts w:ascii="Times New Roman" w:eastAsia="新細明體" w:hAnsi="Times New Roman" w:cs="Times New Roman"/>
                <w:i/>
                <w:iCs/>
                <w:color w:val="0070C0"/>
                <w:kern w:val="0"/>
                <w:sz w:val="20"/>
                <w:szCs w:val="20"/>
                <w:lang w:val="en-GB"/>
              </w:rPr>
              <w:t>Please confirm if dual to single TCI state switching through RRC reconfiguration can be considered for defining RRC based TCI state switching.</w:t>
            </w:r>
          </w:p>
        </w:tc>
      </w:tr>
    </w:tbl>
    <w:p w14:paraId="6B42F2DE" w14:textId="026C1587" w:rsidR="002A58FE" w:rsidRPr="002A58FE" w:rsidRDefault="002A58FE" w:rsidP="00C86203">
      <w:pPr>
        <w:rPr>
          <w:rFonts w:eastAsia="新細明體" w:cstheme="minorHAnsi"/>
          <w:szCs w:val="24"/>
        </w:rPr>
      </w:pPr>
    </w:p>
    <w:p w14:paraId="07829EA8" w14:textId="51DC6042" w:rsidR="002A58FE" w:rsidRDefault="002A58FE" w:rsidP="00C86203">
      <w:pPr>
        <w:rPr>
          <w:rFonts w:eastAsia="新細明體" w:cstheme="minorHAnsi"/>
          <w:szCs w:val="24"/>
        </w:rPr>
      </w:pPr>
      <w:r>
        <w:rPr>
          <w:rFonts w:eastAsia="新細明體" w:cstheme="minorHAnsi"/>
          <w:szCs w:val="24"/>
        </w:rPr>
        <w:t>From the scenario of RRC based TCI state switch defined in TS 38.133, this is used for only one configured TCI state in RRC TCI state list. In multi-RX WI, at least, we support dual TCI states for simultaneous DL reception. We don’t see a reason to consider RRC based TCI state switch in this WI, but we are also fine to discuss possible scenarios. So, the following proposal is suggested.</w:t>
      </w:r>
    </w:p>
    <w:p w14:paraId="010AD8AA" w14:textId="77777777" w:rsidR="002A58FE" w:rsidRDefault="002A58FE" w:rsidP="00C86203">
      <w:pPr>
        <w:rPr>
          <w:rFonts w:eastAsia="新細明體" w:cstheme="minorHAnsi"/>
          <w:szCs w:val="24"/>
        </w:rPr>
      </w:pPr>
    </w:p>
    <w:p w14:paraId="02267FEB" w14:textId="361C0D11" w:rsidR="002A58FE" w:rsidRPr="002A58FE" w:rsidRDefault="002A58FE" w:rsidP="002A58FE">
      <w:pPr>
        <w:pStyle w:val="Caption"/>
        <w:rPr>
          <w:sz w:val="24"/>
          <w:szCs w:val="24"/>
        </w:rPr>
      </w:pPr>
      <w:bookmarkStart w:id="4" w:name="_Ref134190466"/>
      <w:r w:rsidRPr="002A58FE">
        <w:rPr>
          <w:sz w:val="24"/>
          <w:szCs w:val="24"/>
        </w:rPr>
        <w:lastRenderedPageBreak/>
        <w:t xml:space="preserve">Proposal </w:t>
      </w:r>
      <w:r w:rsidRPr="002A58FE">
        <w:rPr>
          <w:sz w:val="24"/>
          <w:szCs w:val="24"/>
        </w:rPr>
        <w:fldChar w:fldCharType="begin"/>
      </w:r>
      <w:r w:rsidRPr="002A58FE">
        <w:rPr>
          <w:sz w:val="24"/>
          <w:szCs w:val="24"/>
        </w:rPr>
        <w:instrText xml:space="preserve"> SEQ Proposal \* ARABIC </w:instrText>
      </w:r>
      <w:r w:rsidRPr="002A58FE">
        <w:rPr>
          <w:sz w:val="24"/>
          <w:szCs w:val="24"/>
        </w:rPr>
        <w:fldChar w:fldCharType="separate"/>
      </w:r>
      <w:r w:rsidR="00E75461">
        <w:rPr>
          <w:noProof/>
          <w:sz w:val="24"/>
          <w:szCs w:val="24"/>
        </w:rPr>
        <w:t>5</w:t>
      </w:r>
      <w:r w:rsidRPr="002A58FE">
        <w:rPr>
          <w:sz w:val="24"/>
          <w:szCs w:val="24"/>
        </w:rPr>
        <w:fldChar w:fldCharType="end"/>
      </w:r>
      <w:r w:rsidRPr="002A58FE">
        <w:rPr>
          <w:sz w:val="24"/>
          <w:szCs w:val="24"/>
        </w:rPr>
        <w:t>: Not to consider RRC based TCI state switch in this WI.</w:t>
      </w:r>
      <w:bookmarkEnd w:id="4"/>
    </w:p>
    <w:p w14:paraId="32ED446A" w14:textId="53666E8C" w:rsidR="002A58FE" w:rsidRDefault="002A58FE" w:rsidP="00C86203">
      <w:pPr>
        <w:rPr>
          <w:rFonts w:eastAsia="新細明體" w:cstheme="minorHAnsi"/>
          <w:szCs w:val="24"/>
        </w:rPr>
      </w:pPr>
    </w:p>
    <w:tbl>
      <w:tblPr>
        <w:tblStyle w:val="TableGrid"/>
        <w:tblW w:w="0" w:type="auto"/>
        <w:tblLook w:val="04A0" w:firstRow="1" w:lastRow="0" w:firstColumn="1" w:lastColumn="0" w:noHBand="0" w:noVBand="1"/>
      </w:tblPr>
      <w:tblGrid>
        <w:gridCol w:w="9629"/>
      </w:tblGrid>
      <w:tr w:rsidR="002A58FE" w14:paraId="4C6A2D1A" w14:textId="77777777" w:rsidTr="000D4C79">
        <w:tc>
          <w:tcPr>
            <w:tcW w:w="9629" w:type="dxa"/>
            <w:tcBorders>
              <w:top w:val="single" w:sz="4" w:space="0" w:color="auto"/>
              <w:left w:val="single" w:sz="4" w:space="0" w:color="auto"/>
              <w:bottom w:val="single" w:sz="4" w:space="0" w:color="auto"/>
              <w:right w:val="single" w:sz="4" w:space="0" w:color="auto"/>
            </w:tcBorders>
            <w:hideMark/>
          </w:tcPr>
          <w:p w14:paraId="66B6A25C" w14:textId="77777777" w:rsidR="002A58FE" w:rsidRPr="002A58FE" w:rsidRDefault="002A58FE" w:rsidP="002A58FE">
            <w:pPr>
              <w:widowControl/>
              <w:rPr>
                <w:rFonts w:ascii="Calibri" w:eastAsia="新細明體" w:hAnsi="Calibri" w:cs="Calibri"/>
                <w:b/>
                <w:bCs/>
                <w:kern w:val="0"/>
                <w:sz w:val="20"/>
                <w:szCs w:val="20"/>
              </w:rPr>
            </w:pPr>
            <w:r w:rsidRPr="002A58FE">
              <w:rPr>
                <w:rFonts w:ascii="Calibri" w:eastAsia="新細明體" w:hAnsi="Calibri" w:cs="Calibri"/>
                <w:b/>
                <w:bCs/>
                <w:kern w:val="0"/>
                <w:sz w:val="20"/>
                <w:szCs w:val="20"/>
              </w:rPr>
              <w:t>Ref. TS 38.133</w:t>
            </w:r>
          </w:p>
          <w:p w14:paraId="371BA334" w14:textId="077F9085" w:rsidR="002A58FE" w:rsidRPr="002A58FE" w:rsidRDefault="002A58FE" w:rsidP="002A58FE">
            <w:pPr>
              <w:widowControl/>
              <w:rPr>
                <w:rFonts w:ascii="Calibri" w:eastAsia="新細明體" w:hAnsi="Calibri" w:cs="Calibri"/>
                <w:kern w:val="0"/>
                <w:sz w:val="20"/>
                <w:szCs w:val="20"/>
              </w:rPr>
            </w:pPr>
            <w:r w:rsidRPr="002A58FE">
              <w:rPr>
                <w:rFonts w:ascii="Calibri" w:eastAsia="新細明體" w:hAnsi="Calibri" w:cs="Calibri"/>
                <w:b/>
                <w:bCs/>
                <w:kern w:val="0"/>
                <w:sz w:val="20"/>
                <w:szCs w:val="20"/>
              </w:rPr>
              <w:t xml:space="preserve">8.10.5 </w:t>
            </w:r>
            <w:r w:rsidRPr="002A58FE">
              <w:rPr>
                <w:rFonts w:ascii="Calibri" w:eastAsia="新細明體" w:hAnsi="Calibri" w:cs="Calibri" w:hint="eastAsia"/>
                <w:b/>
                <w:bCs/>
                <w:kern w:val="0"/>
                <w:sz w:val="20"/>
                <w:szCs w:val="20"/>
              </w:rPr>
              <w:t>RRC based TCI state switch delay</w:t>
            </w:r>
          </w:p>
          <w:p w14:paraId="799B0DB7" w14:textId="1A6D02F1" w:rsidR="002A58FE" w:rsidRPr="002A58FE" w:rsidRDefault="002A58FE" w:rsidP="002A58FE">
            <w:pPr>
              <w:widowControl/>
              <w:rPr>
                <w:rFonts w:ascii="Calibri" w:eastAsia="新細明體" w:hAnsi="Calibri" w:cs="Calibri"/>
                <w:kern w:val="0"/>
                <w:sz w:val="22"/>
              </w:rPr>
            </w:pPr>
            <w:r w:rsidRPr="002A58FE">
              <w:rPr>
                <w:rFonts w:ascii="Calibri" w:eastAsia="新細明體" w:hAnsi="Calibri" w:cs="Calibri"/>
                <w:noProof/>
                <w:kern w:val="0"/>
                <w:sz w:val="22"/>
              </w:rPr>
              <w:drawing>
                <wp:inline distT="0" distB="0" distL="0" distR="0" wp14:anchorId="0BEDA690" wp14:editId="6EF51646">
                  <wp:extent cx="6120765" cy="535305"/>
                  <wp:effectExtent l="0" t="0" r="0" b="0"/>
                  <wp:docPr id="1" name="圖片 1" descr="機器產生的替代文字:&#10;TherequnementsforRRCbasedTCIstateswitchdelayapplywhenonlyITCIstateisconfiguredinRRCTCIstate&#10;list.Wien7冫&#10;alongerswitchmgdelayisallowed.7冫1,QisthetimebetweenDLdata&#10;」)rocess!ng&#10;transnnssionandacknowledgementasspecifiedinTS3&amp;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機器產生的替代文字:&#10;TherequnementsforRRCbasedTCIstateswitchdelayapplywhenonlyITCIstateisconfiguredinRRCTCIstate&#10;list.Wien7冫&#10;alongerswitchmgdelayisallowed.7冫1,QisthetimebetweenDLdata&#10;」)rocess!ng&#10;transnnssionandacknowledgementasspecifiedinTS3&amp;2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535305"/>
                          </a:xfrm>
                          <a:prstGeom prst="rect">
                            <a:avLst/>
                          </a:prstGeom>
                          <a:noFill/>
                          <a:ln>
                            <a:noFill/>
                          </a:ln>
                        </pic:spPr>
                      </pic:pic>
                    </a:graphicData>
                  </a:graphic>
                </wp:inline>
              </w:drawing>
            </w:r>
          </w:p>
        </w:tc>
      </w:tr>
    </w:tbl>
    <w:p w14:paraId="50171235" w14:textId="77777777" w:rsidR="002A58FE" w:rsidRPr="002A58FE" w:rsidRDefault="002A58FE"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02E0B1FF" w14:textId="700526EB" w:rsidR="00AF3344" w:rsidRPr="006475ED"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5443E">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5" w:name="_Hlk94866332"/>
    </w:p>
    <w:p w14:paraId="3182AEBA" w14:textId="2A74EB7F" w:rsidR="00F04CC5" w:rsidRPr="002A58FE" w:rsidRDefault="006475ED" w:rsidP="00F04CC5">
      <w:pPr>
        <w:adjustRightInd w:val="0"/>
        <w:snapToGrid w:val="0"/>
        <w:spacing w:beforeLines="100" w:before="240"/>
        <w:jc w:val="both"/>
        <w:rPr>
          <w:b/>
          <w:szCs w:val="24"/>
        </w:rPr>
      </w:pPr>
      <w:r w:rsidRPr="002A58FE">
        <w:rPr>
          <w:b/>
          <w:szCs w:val="24"/>
        </w:rPr>
        <w:fldChar w:fldCharType="begin"/>
      </w:r>
      <w:r w:rsidRPr="002A58FE">
        <w:rPr>
          <w:b/>
          <w:szCs w:val="24"/>
        </w:rPr>
        <w:instrText xml:space="preserve"> REF _Ref127285641 \h  \* MERGEFORMAT </w:instrText>
      </w:r>
      <w:r w:rsidRPr="002A58FE">
        <w:rPr>
          <w:b/>
          <w:szCs w:val="24"/>
        </w:rPr>
      </w:r>
      <w:r w:rsidRPr="002A58FE">
        <w:rPr>
          <w:b/>
          <w:szCs w:val="24"/>
        </w:rPr>
        <w:fldChar w:fldCharType="separate"/>
      </w:r>
      <w:r w:rsidR="00E75461" w:rsidRPr="004E4BCC">
        <w:rPr>
          <w:b/>
          <w:szCs w:val="24"/>
        </w:rPr>
        <w:t xml:space="preserve">Proposal </w:t>
      </w:r>
      <w:r w:rsidR="00E75461">
        <w:rPr>
          <w:b/>
          <w:szCs w:val="24"/>
        </w:rPr>
        <w:t>1</w:t>
      </w:r>
      <w:r w:rsidR="00E75461" w:rsidRPr="004E4BCC">
        <w:rPr>
          <w:b/>
          <w:szCs w:val="24"/>
        </w:rPr>
        <w:t>:</w:t>
      </w:r>
      <w:r w:rsidR="00E75461">
        <w:rPr>
          <w:b/>
          <w:szCs w:val="24"/>
        </w:rPr>
        <w:t xml:space="preserve"> </w:t>
      </w:r>
      <w:r w:rsidR="00E75461" w:rsidRPr="00C33DE5">
        <w:rPr>
          <w:b/>
          <w:szCs w:val="24"/>
        </w:rPr>
        <w:t xml:space="preserve">For </w:t>
      </w:r>
      <w:r w:rsidR="00E75461">
        <w:rPr>
          <w:b/>
          <w:szCs w:val="24"/>
        </w:rPr>
        <w:t>dual TCI state switching, only define the requirement for the case when two indicated TCI states are known.</w:t>
      </w:r>
      <w:r w:rsidRPr="002A58FE">
        <w:rPr>
          <w:b/>
          <w:szCs w:val="24"/>
        </w:rPr>
        <w:fldChar w:fldCharType="end"/>
      </w:r>
    </w:p>
    <w:p w14:paraId="4AA36646" w14:textId="77777777" w:rsidR="00E75461" w:rsidRPr="00E75461" w:rsidRDefault="004F00A6" w:rsidP="00EF3345">
      <w:pPr>
        <w:adjustRightInd w:val="0"/>
        <w:snapToGrid w:val="0"/>
        <w:spacing w:beforeLines="100" w:before="240"/>
        <w:jc w:val="both"/>
        <w:rPr>
          <w:szCs w:val="24"/>
        </w:rPr>
      </w:pPr>
      <w:r w:rsidRPr="00EF3345">
        <w:rPr>
          <w:b/>
          <w:szCs w:val="24"/>
        </w:rPr>
        <w:fldChar w:fldCharType="begin"/>
      </w:r>
      <w:r w:rsidRPr="004F00A6">
        <w:rPr>
          <w:b/>
          <w:szCs w:val="24"/>
        </w:rPr>
        <w:instrText xml:space="preserve"> </w:instrText>
      </w:r>
      <w:r w:rsidRPr="004F00A6">
        <w:rPr>
          <w:rFonts w:hint="eastAsia"/>
          <w:b/>
          <w:szCs w:val="24"/>
        </w:rPr>
        <w:instrText>REF _Ref131776259 \h</w:instrText>
      </w:r>
      <w:r w:rsidRPr="004F00A6">
        <w:rPr>
          <w:b/>
          <w:szCs w:val="24"/>
        </w:rPr>
        <w:instrText xml:space="preserve"> </w:instrText>
      </w:r>
      <w:r>
        <w:rPr>
          <w:b/>
          <w:szCs w:val="24"/>
        </w:rPr>
        <w:instrText xml:space="preserve"> \* MERGEFORMAT </w:instrText>
      </w:r>
      <w:r w:rsidRPr="00EF3345">
        <w:rPr>
          <w:b/>
          <w:szCs w:val="24"/>
        </w:rPr>
      </w:r>
      <w:r w:rsidRPr="00EF3345">
        <w:rPr>
          <w:b/>
          <w:szCs w:val="24"/>
        </w:rPr>
        <w:fldChar w:fldCharType="separate"/>
      </w:r>
      <w:r w:rsidR="00E75461" w:rsidRPr="00E75461">
        <w:rPr>
          <w:b/>
          <w:szCs w:val="24"/>
        </w:rPr>
        <w:t xml:space="preserve">Proposal </w:t>
      </w:r>
      <w:r w:rsidR="00E75461" w:rsidRPr="00EF3345">
        <w:rPr>
          <w:b/>
          <w:szCs w:val="24"/>
        </w:rPr>
        <w:t>2</w:t>
      </w:r>
      <w:r w:rsidR="00E75461" w:rsidRPr="00E75461">
        <w:rPr>
          <w:b/>
          <w:szCs w:val="24"/>
        </w:rPr>
        <w:t>: Known TCI state definition for dual TCI states:</w:t>
      </w:r>
    </w:p>
    <w:p w14:paraId="787E9038" w14:textId="4CAD1BFE" w:rsidR="00EF3345" w:rsidRDefault="00EF3345" w:rsidP="00EF3345">
      <w:pPr>
        <w:pStyle w:val="Caption"/>
        <w:rPr>
          <w:sz w:val="24"/>
          <w:szCs w:val="24"/>
        </w:rPr>
      </w:pPr>
      <w:r>
        <w:rPr>
          <w:sz w:val="24"/>
          <w:szCs w:val="24"/>
        </w:rPr>
        <w:t>1. T</w:t>
      </w:r>
      <w:r w:rsidRPr="004F00A6">
        <w:rPr>
          <w:sz w:val="24"/>
          <w:szCs w:val="24"/>
        </w:rPr>
        <w:t xml:space="preserve">he </w:t>
      </w:r>
      <w:r>
        <w:rPr>
          <w:sz w:val="24"/>
          <w:szCs w:val="24"/>
        </w:rPr>
        <w:t>dual</w:t>
      </w:r>
      <w:r w:rsidRPr="004F00A6">
        <w:rPr>
          <w:sz w:val="24"/>
          <w:szCs w:val="24"/>
        </w:rPr>
        <w:t xml:space="preserve"> TCI states</w:t>
      </w:r>
      <w:r>
        <w:rPr>
          <w:sz w:val="24"/>
          <w:szCs w:val="24"/>
        </w:rPr>
        <w:t xml:space="preserve"> of </w:t>
      </w:r>
      <w:r w:rsidRPr="002A58FE">
        <w:rPr>
          <w:sz w:val="24"/>
          <w:szCs w:val="24"/>
        </w:rPr>
        <w:t>reference signals</w:t>
      </w:r>
      <w:r w:rsidRPr="004F00A6">
        <w:rPr>
          <w:sz w:val="24"/>
          <w:szCs w:val="24"/>
        </w:rPr>
        <w:t xml:space="preserve"> were included in </w:t>
      </w:r>
      <w:r w:rsidRPr="002A58FE">
        <w:rPr>
          <w:sz w:val="24"/>
          <w:szCs w:val="24"/>
        </w:rPr>
        <w:t>Rel-17 group-based beam reporting</w:t>
      </w:r>
      <w:r w:rsidR="00867B23">
        <w:rPr>
          <w:sz w:val="24"/>
          <w:szCs w:val="24"/>
        </w:rPr>
        <w:t>, or</w:t>
      </w:r>
    </w:p>
    <w:p w14:paraId="197956DB" w14:textId="50E293B7" w:rsidR="00EF3345" w:rsidRPr="00EF3345" w:rsidRDefault="00EF3345" w:rsidP="00EF3345">
      <w:pPr>
        <w:rPr>
          <w:b/>
          <w:szCs w:val="24"/>
        </w:rPr>
      </w:pPr>
      <w:r>
        <w:rPr>
          <w:b/>
          <w:szCs w:val="24"/>
        </w:rPr>
        <w:t xml:space="preserve">2. </w:t>
      </w:r>
      <w:r w:rsidRPr="00EF3345">
        <w:rPr>
          <w:b/>
          <w:szCs w:val="24"/>
        </w:rPr>
        <w:t>The dual TCI states which are QCL type D with the reference signals were included in Rel-17 group-based beam reporting.</w:t>
      </w:r>
      <w:r w:rsidR="004F00A6" w:rsidRPr="00EF3345">
        <w:rPr>
          <w:b/>
          <w:szCs w:val="24"/>
        </w:rPr>
        <w:fldChar w:fldCharType="end"/>
      </w:r>
    </w:p>
    <w:p w14:paraId="7EA8B5B0" w14:textId="77777777" w:rsidR="00EF3345" w:rsidRPr="00EF3345" w:rsidRDefault="00EF3345" w:rsidP="00EF3345">
      <w:pPr>
        <w:rPr>
          <w:b/>
          <w:szCs w:val="24"/>
        </w:rPr>
      </w:pPr>
    </w:p>
    <w:p w14:paraId="03A2CFBC" w14:textId="7AEA0402" w:rsidR="004F00A6" w:rsidRPr="002A58FE" w:rsidRDefault="002A58FE" w:rsidP="00EF3345">
      <w:pPr>
        <w:rPr>
          <w:b/>
          <w:szCs w:val="24"/>
        </w:rPr>
      </w:pPr>
      <w:r w:rsidRPr="002A58FE">
        <w:rPr>
          <w:b/>
          <w:szCs w:val="24"/>
        </w:rPr>
        <w:fldChar w:fldCharType="begin"/>
      </w:r>
      <w:r w:rsidRPr="002A58FE">
        <w:rPr>
          <w:b/>
          <w:szCs w:val="24"/>
        </w:rPr>
        <w:instrText xml:space="preserve"> REF _Ref131708772 \h </w:instrText>
      </w:r>
      <w:r>
        <w:rPr>
          <w:b/>
          <w:szCs w:val="24"/>
        </w:rPr>
        <w:instrText xml:space="preserve"> \* MERGEFORMAT </w:instrText>
      </w:r>
      <w:r w:rsidRPr="002A58FE">
        <w:rPr>
          <w:b/>
          <w:szCs w:val="24"/>
        </w:rPr>
      </w:r>
      <w:r w:rsidRPr="002A58FE">
        <w:rPr>
          <w:b/>
          <w:szCs w:val="24"/>
        </w:rPr>
        <w:fldChar w:fldCharType="separate"/>
      </w:r>
      <w:r w:rsidR="00E75461" w:rsidRPr="00EF3345">
        <w:rPr>
          <w:b/>
          <w:szCs w:val="24"/>
        </w:rPr>
        <w:t>Proposal 3: For detectable condition, all RSs in the same TCI chain for the target TCI state should remain detectable during the entire measurement/evaluation/TCI state switch period.</w:t>
      </w:r>
      <w:r w:rsidRPr="002A58FE">
        <w:rPr>
          <w:b/>
          <w:szCs w:val="24"/>
        </w:rPr>
        <w:fldChar w:fldCharType="end"/>
      </w:r>
    </w:p>
    <w:p w14:paraId="0D2FAF74" w14:textId="678406AF" w:rsidR="002A58FE" w:rsidRPr="002A58FE" w:rsidRDefault="002A58FE" w:rsidP="00F04CC5">
      <w:pPr>
        <w:adjustRightInd w:val="0"/>
        <w:snapToGrid w:val="0"/>
        <w:spacing w:beforeLines="100" w:before="240"/>
        <w:jc w:val="both"/>
        <w:rPr>
          <w:b/>
          <w:szCs w:val="24"/>
        </w:rPr>
      </w:pPr>
      <w:r w:rsidRPr="002A58FE">
        <w:rPr>
          <w:b/>
          <w:szCs w:val="24"/>
        </w:rPr>
        <w:fldChar w:fldCharType="begin"/>
      </w:r>
      <w:r w:rsidRPr="002A58FE">
        <w:rPr>
          <w:b/>
          <w:szCs w:val="24"/>
        </w:rPr>
        <w:instrText xml:space="preserve"> REF _Ref134190464 \h </w:instrText>
      </w:r>
      <w:r>
        <w:rPr>
          <w:b/>
          <w:szCs w:val="24"/>
        </w:rPr>
        <w:instrText xml:space="preserve"> \* MERGEFORMAT </w:instrText>
      </w:r>
      <w:r w:rsidRPr="002A58FE">
        <w:rPr>
          <w:b/>
          <w:szCs w:val="24"/>
        </w:rPr>
      </w:r>
      <w:r w:rsidRPr="002A58FE">
        <w:rPr>
          <w:b/>
          <w:szCs w:val="24"/>
        </w:rPr>
        <w:fldChar w:fldCharType="separate"/>
      </w:r>
      <w:r w:rsidR="00E75461" w:rsidRPr="00EF3345">
        <w:rPr>
          <w:b/>
          <w:szCs w:val="24"/>
        </w:rPr>
        <w:t>Proposal 4: T/F tracking for the dual TCI states are based on different SSBs in this WI.</w:t>
      </w:r>
      <w:r w:rsidRPr="002A58FE">
        <w:rPr>
          <w:b/>
          <w:szCs w:val="24"/>
        </w:rPr>
        <w:fldChar w:fldCharType="end"/>
      </w:r>
    </w:p>
    <w:p w14:paraId="280FF672" w14:textId="035BD5F4" w:rsidR="002A58FE" w:rsidRPr="002A58FE" w:rsidRDefault="002A58FE" w:rsidP="00F04CC5">
      <w:pPr>
        <w:adjustRightInd w:val="0"/>
        <w:snapToGrid w:val="0"/>
        <w:spacing w:beforeLines="100" w:before="240"/>
        <w:jc w:val="both"/>
        <w:rPr>
          <w:b/>
          <w:szCs w:val="24"/>
        </w:rPr>
      </w:pPr>
      <w:r w:rsidRPr="002A58FE">
        <w:rPr>
          <w:b/>
          <w:szCs w:val="24"/>
        </w:rPr>
        <w:fldChar w:fldCharType="begin"/>
      </w:r>
      <w:r w:rsidRPr="002A58FE">
        <w:rPr>
          <w:b/>
          <w:szCs w:val="24"/>
        </w:rPr>
        <w:instrText xml:space="preserve"> REF _Ref134190466 \h </w:instrText>
      </w:r>
      <w:r>
        <w:rPr>
          <w:b/>
          <w:szCs w:val="24"/>
        </w:rPr>
        <w:instrText xml:space="preserve"> \* MERGEFORMAT </w:instrText>
      </w:r>
      <w:r w:rsidRPr="002A58FE">
        <w:rPr>
          <w:b/>
          <w:szCs w:val="24"/>
        </w:rPr>
      </w:r>
      <w:r w:rsidRPr="002A58FE">
        <w:rPr>
          <w:b/>
          <w:szCs w:val="24"/>
        </w:rPr>
        <w:fldChar w:fldCharType="separate"/>
      </w:r>
      <w:r w:rsidR="00E75461" w:rsidRPr="00EF3345">
        <w:rPr>
          <w:b/>
          <w:szCs w:val="24"/>
        </w:rPr>
        <w:t>Proposal 5: Not to consider RRC based TCI state switch in this WI.</w:t>
      </w:r>
      <w:r w:rsidRPr="002A58FE">
        <w:rPr>
          <w:b/>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5"/>
    <w:p w14:paraId="3BD2E4B1" w14:textId="77777777" w:rsidR="001B1F55" w:rsidRDefault="001B1F55" w:rsidP="001B1F55">
      <w:pPr>
        <w:pStyle w:val="ListParagraph"/>
        <w:numPr>
          <w:ilvl w:val="0"/>
          <w:numId w:val="6"/>
        </w:numPr>
        <w:spacing w:beforeLines="50" w:before="120"/>
        <w:rPr>
          <w:rFonts w:cstheme="minorHAnsi"/>
          <w:szCs w:val="24"/>
        </w:rPr>
      </w:pPr>
      <w:r>
        <w:rPr>
          <w:rFonts w:cstheme="minorHAnsi"/>
          <w:szCs w:val="24"/>
        </w:rPr>
        <w:t>R4-2306319, WF on FR2_multiRx_part2, Ericsson, RAN4 #106-bis-e</w:t>
      </w:r>
    </w:p>
    <w:p w14:paraId="2A8B3788" w14:textId="249C2B30" w:rsidR="001B1F55" w:rsidRPr="00B626B7" w:rsidRDefault="001B1F55" w:rsidP="001B1F55">
      <w:pPr>
        <w:pStyle w:val="ListParagraph"/>
        <w:numPr>
          <w:ilvl w:val="0"/>
          <w:numId w:val="6"/>
        </w:numPr>
        <w:spacing w:beforeLines="50" w:before="120"/>
        <w:rPr>
          <w:rFonts w:cstheme="minorHAnsi"/>
          <w:szCs w:val="24"/>
        </w:rPr>
      </w:pPr>
      <w:r>
        <w:rPr>
          <w:rFonts w:cstheme="minorHAnsi"/>
          <w:szCs w:val="24"/>
        </w:rPr>
        <w:t>R4-2302768, Topic summary for [106bis-e][203] FR2_multiRx_part2, Ericsson, RAN#106-bis-e</w:t>
      </w:r>
    </w:p>
    <w:sectPr w:rsidR="001B1F55" w:rsidRPr="00B626B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B0B2E" w14:textId="77777777" w:rsidR="008824FD" w:rsidRDefault="008824FD">
      <w:r>
        <w:separator/>
      </w:r>
    </w:p>
  </w:endnote>
  <w:endnote w:type="continuationSeparator" w:id="0">
    <w:p w14:paraId="5D9D94BA" w14:textId="77777777" w:rsidR="008824FD" w:rsidRDefault="0088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80E43" w14:textId="77777777" w:rsidR="008824FD" w:rsidRDefault="008824FD">
      <w:r>
        <w:separator/>
      </w:r>
    </w:p>
  </w:footnote>
  <w:footnote w:type="continuationSeparator" w:id="0">
    <w:p w14:paraId="29DB3352" w14:textId="77777777" w:rsidR="008824FD" w:rsidRDefault="00882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409E"/>
    <w:multiLevelType w:val="hybridMultilevel"/>
    <w:tmpl w:val="5CBE8256"/>
    <w:lvl w:ilvl="0" w:tplc="F5C41EA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59619FD"/>
    <w:multiLevelType w:val="multilevel"/>
    <w:tmpl w:val="BEC07DF2"/>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D582C95"/>
    <w:multiLevelType w:val="multilevel"/>
    <w:tmpl w:val="0E16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0F51B1"/>
    <w:multiLevelType w:val="multilevel"/>
    <w:tmpl w:val="96803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1FB148A"/>
    <w:multiLevelType w:val="multilevel"/>
    <w:tmpl w:val="71AAE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EFE48C5"/>
    <w:multiLevelType w:val="multilevel"/>
    <w:tmpl w:val="C9880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42" w15:restartNumberingAfterBreak="0">
    <w:nsid w:val="72950A67"/>
    <w:multiLevelType w:val="multilevel"/>
    <w:tmpl w:val="7982F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C14527"/>
    <w:multiLevelType w:val="hybridMultilevel"/>
    <w:tmpl w:val="57723878"/>
    <w:lvl w:ilvl="0" w:tplc="F5C41EA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16cid:durableId="805121832">
    <w:abstractNumId w:val="35"/>
  </w:num>
  <w:num w:numId="2" w16cid:durableId="1109469761">
    <w:abstractNumId w:val="19"/>
  </w:num>
  <w:num w:numId="3" w16cid:durableId="2086173934">
    <w:abstractNumId w:val="3"/>
  </w:num>
  <w:num w:numId="4" w16cid:durableId="1072773618">
    <w:abstractNumId w:val="1"/>
  </w:num>
  <w:num w:numId="5" w16cid:durableId="1637956029">
    <w:abstractNumId w:val="29"/>
  </w:num>
  <w:num w:numId="6" w16cid:durableId="53706115">
    <w:abstractNumId w:val="6"/>
  </w:num>
  <w:num w:numId="7" w16cid:durableId="1476755098">
    <w:abstractNumId w:val="33"/>
  </w:num>
  <w:num w:numId="8" w16cid:durableId="966394916">
    <w:abstractNumId w:val="44"/>
  </w:num>
  <w:num w:numId="9" w16cid:durableId="1747417717">
    <w:abstractNumId w:val="10"/>
  </w:num>
  <w:num w:numId="10" w16cid:durableId="2066567593">
    <w:abstractNumId w:val="24"/>
  </w:num>
  <w:num w:numId="11" w16cid:durableId="440760524">
    <w:abstractNumId w:val="34"/>
  </w:num>
  <w:num w:numId="12" w16cid:durableId="1034187560">
    <w:abstractNumId w:val="26"/>
  </w:num>
  <w:num w:numId="13" w16cid:durableId="1278215449">
    <w:abstractNumId w:val="36"/>
  </w:num>
  <w:num w:numId="14" w16cid:durableId="32777380">
    <w:abstractNumId w:val="4"/>
  </w:num>
  <w:num w:numId="15" w16cid:durableId="1991595142">
    <w:abstractNumId w:val="15"/>
  </w:num>
  <w:num w:numId="16" w16cid:durableId="182208155">
    <w:abstractNumId w:val="41"/>
  </w:num>
  <w:num w:numId="17" w16cid:durableId="325284483">
    <w:abstractNumId w:val="2"/>
  </w:num>
  <w:num w:numId="18" w16cid:durableId="1133865343">
    <w:abstractNumId w:val="5"/>
  </w:num>
  <w:num w:numId="19" w16cid:durableId="196507183">
    <w:abstractNumId w:val="40"/>
  </w:num>
  <w:num w:numId="20" w16cid:durableId="749354536">
    <w:abstractNumId w:val="20"/>
  </w:num>
  <w:num w:numId="21" w16cid:durableId="1915703293">
    <w:abstractNumId w:val="31"/>
  </w:num>
  <w:num w:numId="22" w16cid:durableId="27801021">
    <w:abstractNumId w:val="7"/>
  </w:num>
  <w:num w:numId="23" w16cid:durableId="151530307">
    <w:abstractNumId w:val="9"/>
  </w:num>
  <w:num w:numId="24" w16cid:durableId="432555272">
    <w:abstractNumId w:val="21"/>
  </w:num>
  <w:num w:numId="25" w16cid:durableId="372190568">
    <w:abstractNumId w:val="30"/>
  </w:num>
  <w:num w:numId="26" w16cid:durableId="740370000">
    <w:abstractNumId w:val="12"/>
  </w:num>
  <w:num w:numId="27" w16cid:durableId="1252355424">
    <w:abstractNumId w:val="13"/>
  </w:num>
  <w:num w:numId="28" w16cid:durableId="1575583693">
    <w:abstractNumId w:val="18"/>
  </w:num>
  <w:num w:numId="29" w16cid:durableId="61803630">
    <w:abstractNumId w:val="37"/>
  </w:num>
  <w:num w:numId="30" w16cid:durableId="2108112135">
    <w:abstractNumId w:val="29"/>
  </w:num>
  <w:num w:numId="31" w16cid:durableId="1230533811">
    <w:abstractNumId w:val="11"/>
  </w:num>
  <w:num w:numId="32" w16cid:durableId="66609886">
    <w:abstractNumId w:val="16"/>
  </w:num>
  <w:num w:numId="33" w16cid:durableId="758600568">
    <w:abstractNumId w:val="39"/>
  </w:num>
  <w:num w:numId="34" w16cid:durableId="896016338">
    <w:abstractNumId w:val="27"/>
  </w:num>
  <w:num w:numId="35" w16cid:durableId="1954170992">
    <w:abstractNumId w:val="25"/>
  </w:num>
  <w:num w:numId="36" w16cid:durableId="2130198805">
    <w:abstractNumId w:val="28"/>
  </w:num>
  <w:num w:numId="37" w16cid:durableId="1838228886">
    <w:abstractNumId w:val="8"/>
  </w:num>
  <w:num w:numId="38" w16cid:durableId="1151172103">
    <w:abstractNumId w:val="17"/>
  </w:num>
  <w:num w:numId="39" w16cid:durableId="1052846908">
    <w:abstractNumId w:val="42"/>
  </w:num>
  <w:num w:numId="40" w16cid:durableId="654802406">
    <w:abstractNumId w:val="43"/>
  </w:num>
  <w:num w:numId="41" w16cid:durableId="176163252">
    <w:abstractNumId w:val="0"/>
  </w:num>
  <w:num w:numId="42" w16cid:durableId="441648560">
    <w:abstractNumId w:val="29"/>
  </w:num>
  <w:num w:numId="43" w16cid:durableId="412354611">
    <w:abstractNumId w:val="38"/>
  </w:num>
  <w:num w:numId="44" w16cid:durableId="874581593">
    <w:abstractNumId w:val="32"/>
  </w:num>
  <w:num w:numId="45" w16cid:durableId="276722678">
    <w:abstractNumId w:val="14"/>
  </w:num>
  <w:num w:numId="46" w16cid:durableId="1672097575">
    <w:abstractNumId w:val="29"/>
  </w:num>
  <w:num w:numId="47" w16cid:durableId="175467572">
    <w:abstractNumId w:val="23"/>
  </w:num>
  <w:num w:numId="48" w16cid:durableId="53817108">
    <w:abstractNumId w:val="22"/>
  </w:num>
  <w:num w:numId="49" w16cid:durableId="1057438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08A"/>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35D"/>
    <w:rsid w:val="00176645"/>
    <w:rsid w:val="00176B45"/>
    <w:rsid w:val="00176ED6"/>
    <w:rsid w:val="0017752A"/>
    <w:rsid w:val="00177943"/>
    <w:rsid w:val="001800E8"/>
    <w:rsid w:val="00180811"/>
    <w:rsid w:val="0018082A"/>
    <w:rsid w:val="00180D92"/>
    <w:rsid w:val="0018167F"/>
    <w:rsid w:val="00181E94"/>
    <w:rsid w:val="00182199"/>
    <w:rsid w:val="001821AE"/>
    <w:rsid w:val="0018233B"/>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1F55"/>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13"/>
    <w:rsid w:val="001C2489"/>
    <w:rsid w:val="001C24BB"/>
    <w:rsid w:val="001C2686"/>
    <w:rsid w:val="001C26E0"/>
    <w:rsid w:val="001C2EB4"/>
    <w:rsid w:val="001C326D"/>
    <w:rsid w:val="001C4337"/>
    <w:rsid w:val="001C4676"/>
    <w:rsid w:val="001C48FB"/>
    <w:rsid w:val="001C4D9F"/>
    <w:rsid w:val="001C4DE7"/>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B68"/>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59AE"/>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826"/>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3A8B"/>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3F6A"/>
    <w:rsid w:val="002A40FD"/>
    <w:rsid w:val="002A43E9"/>
    <w:rsid w:val="002A4A03"/>
    <w:rsid w:val="002A4D6B"/>
    <w:rsid w:val="002A5188"/>
    <w:rsid w:val="002A5359"/>
    <w:rsid w:val="002A58FE"/>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84F"/>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447"/>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B21"/>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355"/>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3F3E"/>
    <w:rsid w:val="00404104"/>
    <w:rsid w:val="00404532"/>
    <w:rsid w:val="004046A7"/>
    <w:rsid w:val="0040471B"/>
    <w:rsid w:val="00404A07"/>
    <w:rsid w:val="00404D3C"/>
    <w:rsid w:val="00404EFB"/>
    <w:rsid w:val="004053D4"/>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17BCB"/>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6B03"/>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9B1"/>
    <w:rsid w:val="00475F8F"/>
    <w:rsid w:val="00476198"/>
    <w:rsid w:val="00476991"/>
    <w:rsid w:val="00476AE9"/>
    <w:rsid w:val="004772E9"/>
    <w:rsid w:val="004777D8"/>
    <w:rsid w:val="00477DB3"/>
    <w:rsid w:val="00477E9B"/>
    <w:rsid w:val="00477FEB"/>
    <w:rsid w:val="0048041A"/>
    <w:rsid w:val="00480528"/>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6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290"/>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A6"/>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7D3"/>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577"/>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9A8"/>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0AB"/>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696"/>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0B7"/>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1A5"/>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5ED"/>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67E"/>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B92"/>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A75"/>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933"/>
    <w:rsid w:val="00853A3E"/>
    <w:rsid w:val="00853C6D"/>
    <w:rsid w:val="00853C75"/>
    <w:rsid w:val="008543D9"/>
    <w:rsid w:val="0085443E"/>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A6C"/>
    <w:rsid w:val="00866EF8"/>
    <w:rsid w:val="0086727B"/>
    <w:rsid w:val="0086729B"/>
    <w:rsid w:val="00867427"/>
    <w:rsid w:val="0086764F"/>
    <w:rsid w:val="00867785"/>
    <w:rsid w:val="00867B23"/>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4FD"/>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510"/>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3C7D"/>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0C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240"/>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881"/>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0D85"/>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6B7"/>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0"/>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8F6"/>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2DF8"/>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502"/>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D2C"/>
    <w:rsid w:val="00D30E10"/>
    <w:rsid w:val="00D31735"/>
    <w:rsid w:val="00D3219D"/>
    <w:rsid w:val="00D32326"/>
    <w:rsid w:val="00D3280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5DBD"/>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C2"/>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6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6AA"/>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4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CC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B3B"/>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DD0"/>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D30"/>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5E"/>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650"/>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77"/>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06AA"/>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108"/>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95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A49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95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2A58F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085747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5002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652014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741518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17137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492865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531142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02024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9388115">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3214460">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0045346">
      <w:bodyDiv w:val="1"/>
      <w:marLeft w:val="0"/>
      <w:marRight w:val="0"/>
      <w:marTop w:val="0"/>
      <w:marBottom w:val="0"/>
      <w:divBdr>
        <w:top w:val="none" w:sz="0" w:space="0" w:color="auto"/>
        <w:left w:val="none" w:sz="0" w:space="0" w:color="auto"/>
        <w:bottom w:val="none" w:sz="0" w:space="0" w:color="auto"/>
        <w:right w:val="none" w:sz="0" w:space="0" w:color="auto"/>
      </w:divBdr>
    </w:div>
    <w:div w:id="161404961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7781315">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200287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